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6BA36EE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9300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im</w:t>
      </w:r>
      <w:r w:rsidR="0079300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3AE35C01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freie-kirche-wipkingen.ch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25BEFD09" w:rsidR="00654D9B" w:rsidRDefault="00654D9B" w:rsidP="001D2685">
      <w:pPr>
        <w:pStyle w:val="Absatzregulr"/>
      </w:pPr>
    </w:p>
    <w:p w14:paraId="353BACE7" w14:textId="7BF39535" w:rsidR="002C65CF" w:rsidRDefault="009B2AB4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9B2AB4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79300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B2AB4">
        <w:rPr>
          <w:rFonts w:ascii="Arial Rounded MT Bold" w:hAnsi="Arial Rounded MT Bold"/>
          <w:b w:val="0"/>
          <w:bCs/>
          <w:sz w:val="34"/>
          <w:szCs w:val="34"/>
        </w:rPr>
        <w:t>Stern</w:t>
      </w:r>
      <w:r w:rsidR="0079300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B2AB4">
        <w:rPr>
          <w:rFonts w:ascii="Arial Rounded MT Bold" w:hAnsi="Arial Rounded MT Bold"/>
          <w:b w:val="0"/>
          <w:bCs/>
          <w:sz w:val="34"/>
          <w:szCs w:val="34"/>
        </w:rPr>
        <w:t>leuchtet</w:t>
      </w:r>
      <w:r w:rsidR="0079300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B2AB4">
        <w:rPr>
          <w:rFonts w:ascii="Arial Rounded MT Bold" w:hAnsi="Arial Rounded MT Bold"/>
          <w:b w:val="0"/>
          <w:bCs/>
          <w:sz w:val="34"/>
          <w:szCs w:val="34"/>
        </w:rPr>
        <w:t>uns</w:t>
      </w:r>
      <w:r w:rsidR="0079300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B2AB4">
        <w:rPr>
          <w:rFonts w:ascii="Arial Rounded MT Bold" w:hAnsi="Arial Rounded MT Bold"/>
          <w:b w:val="0"/>
          <w:bCs/>
          <w:sz w:val="34"/>
          <w:szCs w:val="34"/>
        </w:rPr>
        <w:t>zum</w:t>
      </w:r>
      <w:r w:rsidR="0079300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9B2AB4">
        <w:rPr>
          <w:rFonts w:ascii="Arial Rounded MT Bold" w:hAnsi="Arial Rounded MT Bold"/>
          <w:b w:val="0"/>
          <w:bCs/>
          <w:sz w:val="34"/>
          <w:szCs w:val="34"/>
        </w:rPr>
        <w:t>Ziel!</w:t>
      </w:r>
      <w:r w:rsidR="0079300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9B2AB4">
        <w:rPr>
          <w:rFonts w:cs="Arial"/>
          <w:b w:val="0"/>
          <w:bCs/>
          <w:sz w:val="24"/>
          <w:szCs w:val="24"/>
        </w:rPr>
        <w:t>Sacharja</w:t>
      </w:r>
      <w:r w:rsidR="00793007">
        <w:rPr>
          <w:rFonts w:cs="Arial"/>
          <w:b w:val="0"/>
          <w:bCs/>
          <w:sz w:val="24"/>
          <w:szCs w:val="24"/>
        </w:rPr>
        <w:t xml:space="preserve"> </w:t>
      </w:r>
      <w:r w:rsidRPr="009B2AB4">
        <w:rPr>
          <w:rFonts w:cs="Arial"/>
          <w:b w:val="0"/>
          <w:bCs/>
          <w:sz w:val="24"/>
          <w:szCs w:val="24"/>
        </w:rPr>
        <w:t>14</w:t>
      </w:r>
      <w:r w:rsidR="00793007">
        <w:rPr>
          <w:rFonts w:cs="Arial"/>
          <w:b w:val="0"/>
          <w:bCs/>
          <w:sz w:val="24"/>
          <w:szCs w:val="24"/>
        </w:rPr>
        <w:t>, 8</w:t>
      </w:r>
      <w:r w:rsidRPr="009B2AB4">
        <w:rPr>
          <w:rFonts w:cs="Arial"/>
          <w:b w:val="0"/>
          <w:bCs/>
          <w:sz w:val="24"/>
          <w:szCs w:val="24"/>
        </w:rPr>
        <w:t>-11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293A34F7" w14:textId="3B7E4023" w:rsidR="00486F66" w:rsidRDefault="00486F6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3FC788CF" w14:textId="30EEFEF4" w:rsidR="001D2685" w:rsidRDefault="001D2685" w:rsidP="001D2685">
      <w:pPr>
        <w:pStyle w:val="Absatzregulr"/>
      </w:pPr>
    </w:p>
    <w:p w14:paraId="5E01FB53" w14:textId="4757ECF2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793007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41B87163" w14:textId="33E58CC6" w:rsidR="004D260B" w:rsidRPr="004D260B" w:rsidRDefault="004D260B" w:rsidP="00C83362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88732837"/>
      <w:bookmarkStart w:id="2" w:name="_Hlk7182205"/>
      <w:bookmarkStart w:id="3" w:name="_Hlk503012426"/>
      <w:r w:rsidRPr="004D260B">
        <w:rPr>
          <w:rFonts w:ascii="Times New Roman" w:hAnsi="Times New Roman"/>
          <w:sz w:val="24"/>
          <w:szCs w:val="24"/>
        </w:rPr>
        <w:t>Nun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feiern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bereits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dritten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Advent.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letzten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Teil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Serie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Titel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„Sterne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kommenden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Retters“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angekommen.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Übrigens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Titel,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Thomson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Studienbibel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Blatt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vielen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Sternen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angeschaut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hatte.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Stern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bezieht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Text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Testament,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irgendeiner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Weise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Geburt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hinweist.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Heute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beschäftigen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Abschnitt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Testament,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Geburt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hinausgeht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deshalb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Blatt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Stern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bekommen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hat.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Advent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lateinisch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bedeutet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„Ankunft“.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Adventszeit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Weihnachten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denken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Ankunft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zurück,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damals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Kind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kam.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wurde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besuchte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Paulus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einmal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(Jesus),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gleich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Stufe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stand,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nutzte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Vorteil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Gegenteil: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verzichtete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Vorrechte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stellte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dieselbe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Stufe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Diener.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Philipper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–7.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Mensch!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gross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muss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Liebe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sicheren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bei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Vater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verlassen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hatte,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besuchen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ihnen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verachtet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verfolgt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einzigartige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Geburt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geschah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2000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Jahren.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Jahr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rufen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grossartige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Ereignis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Erinnerung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–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schöne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wichtige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Tradition.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Dabei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dürfen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vergessen,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Christen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immer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Advent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warten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Ankunft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Bevor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himmlischen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Vater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zurückkehrte,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erklärte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Jüngern,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Vater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würde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Tag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vorbereiten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sagte: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Platz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vorbereitet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holen,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bin.“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also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Tag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kommen,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zusammen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anderen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Ankunft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nächste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grosse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Ereignis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Plan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Gottes.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Tag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Erscheinung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treten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Prophet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folgendermassen: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Ölberg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stell</w:t>
      </w:r>
      <w:r w:rsidR="00622BAD">
        <w:rPr>
          <w:rFonts w:ascii="Times New Roman" w:hAnsi="Times New Roman"/>
          <w:bCs/>
          <w:i/>
          <w:noProof/>
          <w:sz w:val="24"/>
          <w:szCs w:val="24"/>
        </w:rPr>
        <w:t>en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östlich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liegt,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Berg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Osten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Westen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Teile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lastRenderedPageBreak/>
        <w:t>spalten.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Hälfte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Norden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Süden,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breites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Tal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entsteht.“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Sacharja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erneut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Säugling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Krippe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liegen,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sondern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Macht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Herrlichkeit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A43F2E">
        <w:rPr>
          <w:rFonts w:ascii="Times New Roman" w:hAnsi="Times New Roman"/>
          <w:sz w:val="24"/>
          <w:szCs w:val="24"/>
        </w:rPr>
        <w:t>werden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sichtbar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Weil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zweiten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Mal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kommen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sprechen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Wiederkunft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mehr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Aussagen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Bibel,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darüber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sprechen,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Tag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geschehen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habe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Aussage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Propheten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entschieden,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weil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heute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Text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Propheten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beschäftigen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etwas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später,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Tag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Christen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ändern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überspringen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zunächst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Geburt,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Kreuzigung,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Auferstehung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Himmelfahrt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schauen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Zukunft.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nun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Abschnitt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Sacharja:</w:t>
      </w:r>
    </w:p>
    <w:p w14:paraId="6D624276" w14:textId="5F1A2BC0" w:rsidR="004D260B" w:rsidRPr="004D260B" w:rsidRDefault="004D260B" w:rsidP="00E42056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Cs w:val="22"/>
        </w:rPr>
      </w:pPr>
      <w:r w:rsidRPr="004D260B">
        <w:rPr>
          <w:rFonts w:ascii="Times New Roman" w:hAnsi="Times New Roman"/>
          <w:i/>
          <w:szCs w:val="22"/>
        </w:rPr>
        <w:t>An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jenem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Tag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wird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Jerusalem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eine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Quelle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mit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Leben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spendendem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Wasser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entspringen;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die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eine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Hälfte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fliesst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Meer,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Osten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liegt,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die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andere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Meer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Westen.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Wasser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wird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Winter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wie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Sommer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fliessen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und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nie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versiegen.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Dann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wird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HERR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über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alle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Völker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Erde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König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sein.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allein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wird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Gott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sein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an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jenem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Tag,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zu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ihm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allein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werden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die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Völker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beten.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ganze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Land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von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Geba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bis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Rimmon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südlich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von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Jerusalem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verwandelt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sich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eine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Ebene,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Jerusalem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selbst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aber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bleibt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erhöht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und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überragt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übrige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Land.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Die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Stadt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erstreckt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sich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dann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vom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Benjamintor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über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das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zugemauerte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Tor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bis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zum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Ecktor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und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vom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Turm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Hananel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bis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zu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den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königlichen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Weinkeltern.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Ihre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Bewohner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werden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in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Sicherheit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leben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und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keine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Vernichtung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wird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sie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mehr</w:t>
      </w:r>
      <w:r w:rsidR="00793007">
        <w:rPr>
          <w:rFonts w:ascii="Times New Roman" w:hAnsi="Times New Roman"/>
          <w:i/>
          <w:szCs w:val="22"/>
        </w:rPr>
        <w:t xml:space="preserve"> </w:t>
      </w:r>
      <w:r w:rsidRPr="004D260B">
        <w:rPr>
          <w:rFonts w:ascii="Times New Roman" w:hAnsi="Times New Roman"/>
          <w:i/>
          <w:szCs w:val="22"/>
        </w:rPr>
        <w:t>bedrohen.</w:t>
      </w:r>
      <w:r w:rsidR="00793007">
        <w:rPr>
          <w:rFonts w:ascii="Times New Roman" w:hAnsi="Times New Roman"/>
          <w:i/>
          <w:szCs w:val="22"/>
        </w:rPr>
        <w:t xml:space="preserve"> Sacharja </w:t>
      </w:r>
      <w:r w:rsidRPr="004D260B">
        <w:rPr>
          <w:rFonts w:ascii="Times New Roman" w:hAnsi="Times New Roman"/>
          <w:i/>
          <w:szCs w:val="22"/>
        </w:rPr>
        <w:t>14</w:t>
      </w:r>
      <w:r w:rsidR="00793007">
        <w:rPr>
          <w:rFonts w:ascii="Times New Roman" w:hAnsi="Times New Roman"/>
          <w:i/>
          <w:szCs w:val="22"/>
        </w:rPr>
        <w:t>, 8</w:t>
      </w:r>
      <w:r w:rsidRPr="00E42056">
        <w:rPr>
          <w:rFonts w:ascii="Times New Roman" w:hAnsi="Times New Roman"/>
          <w:i/>
          <w:szCs w:val="22"/>
        </w:rPr>
        <w:t>-</w:t>
      </w:r>
      <w:r w:rsidRPr="004D260B">
        <w:rPr>
          <w:rFonts w:ascii="Times New Roman" w:hAnsi="Times New Roman"/>
          <w:i/>
          <w:szCs w:val="22"/>
        </w:rPr>
        <w:t>11.</w:t>
      </w:r>
      <w:r w:rsidR="00793007">
        <w:rPr>
          <w:rFonts w:ascii="Times New Roman" w:hAnsi="Times New Roman"/>
          <w:i/>
          <w:szCs w:val="22"/>
        </w:rPr>
        <w:t xml:space="preserve"> </w:t>
      </w:r>
    </w:p>
    <w:p w14:paraId="6D9C8CF8" w14:textId="066CF6EE" w:rsidR="004D260B" w:rsidRPr="004D260B" w:rsidRDefault="004D260B" w:rsidP="00CD31C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Hlk89954694"/>
      <w:bookmarkStart w:id="5" w:name="_Hlk89955270"/>
      <w:bookmarkStart w:id="6" w:name="_Toc89950558"/>
      <w:r w:rsidRPr="004D260B">
        <w:rPr>
          <w:rFonts w:ascii="Times New Roman" w:hAnsi="Times New Roman"/>
          <w:b w:val="0"/>
          <w:sz w:val="24"/>
          <w:szCs w:val="24"/>
        </w:rPr>
        <w:t>Unversiegbare</w:t>
      </w:r>
      <w:r w:rsidR="00793007">
        <w:rPr>
          <w:rFonts w:ascii="Times New Roman" w:hAnsi="Times New Roman"/>
          <w:b w:val="0"/>
          <w:sz w:val="24"/>
          <w:szCs w:val="24"/>
        </w:rPr>
        <w:t xml:space="preserve"> </w:t>
      </w:r>
      <w:bookmarkEnd w:id="4"/>
      <w:r w:rsidRPr="004D260B">
        <w:rPr>
          <w:rFonts w:ascii="Times New Roman" w:hAnsi="Times New Roman"/>
          <w:b w:val="0"/>
          <w:sz w:val="24"/>
          <w:szCs w:val="24"/>
        </w:rPr>
        <w:t>Quelle</w:t>
      </w:r>
      <w:r w:rsidR="00793007">
        <w:rPr>
          <w:rFonts w:ascii="Times New Roman" w:hAnsi="Times New Roman"/>
          <w:b w:val="0"/>
          <w:sz w:val="24"/>
          <w:szCs w:val="24"/>
        </w:rPr>
        <w:t xml:space="preserve"> </w:t>
      </w:r>
      <w:r w:rsidRPr="004D260B">
        <w:rPr>
          <w:rFonts w:ascii="Times New Roman" w:hAnsi="Times New Roman"/>
          <w:b w:val="0"/>
          <w:sz w:val="24"/>
          <w:szCs w:val="24"/>
        </w:rPr>
        <w:t>des</w:t>
      </w:r>
      <w:r w:rsidR="00793007">
        <w:rPr>
          <w:rFonts w:ascii="Times New Roman" w:hAnsi="Times New Roman"/>
          <w:b w:val="0"/>
          <w:sz w:val="24"/>
          <w:szCs w:val="24"/>
        </w:rPr>
        <w:t xml:space="preserve"> </w:t>
      </w:r>
      <w:r w:rsidRPr="004D260B">
        <w:rPr>
          <w:rFonts w:ascii="Times New Roman" w:hAnsi="Times New Roman"/>
          <w:b w:val="0"/>
          <w:sz w:val="24"/>
          <w:szCs w:val="24"/>
        </w:rPr>
        <w:t>Lebens</w:t>
      </w:r>
      <w:bookmarkEnd w:id="5"/>
      <w:r w:rsidRPr="004D260B">
        <w:rPr>
          <w:rFonts w:ascii="Times New Roman" w:hAnsi="Times New Roman"/>
          <w:b w:val="0"/>
          <w:sz w:val="24"/>
          <w:szCs w:val="24"/>
        </w:rPr>
        <w:t>!</w:t>
      </w:r>
      <w:bookmarkEnd w:id="6"/>
    </w:p>
    <w:p w14:paraId="29928051" w14:textId="5CB0B23B" w:rsidR="004D260B" w:rsidRPr="004D260B" w:rsidRDefault="004D260B" w:rsidP="00122534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4D260B">
        <w:rPr>
          <w:rFonts w:ascii="Times New Roman" w:hAnsi="Times New Roman"/>
          <w:sz w:val="24"/>
          <w:szCs w:val="24"/>
        </w:rPr>
        <w:t>Bevor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Abschnitt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eingehen,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will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etwas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Grundsätzliches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Deutung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prophetischer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Texte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A43F2E">
        <w:rPr>
          <w:rFonts w:ascii="Times New Roman" w:hAnsi="Times New Roman"/>
          <w:sz w:val="24"/>
          <w:szCs w:val="24"/>
        </w:rPr>
        <w:t>sagen</w:t>
      </w:r>
      <w:r w:rsidRPr="004D260B">
        <w:rPr>
          <w:rFonts w:ascii="Times New Roman" w:hAnsi="Times New Roman"/>
          <w:sz w:val="24"/>
          <w:szCs w:val="24"/>
        </w:rPr>
        <w:t>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Ereignisse,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ferner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Zukunft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liegen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abspielt,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fremd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Zugang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haben.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Deshalb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bleibt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ihm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anderes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übrig,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Bilder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Anspielungen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verwenden,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erahnen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kann,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vorstellen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könnte.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jemandem,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Schnee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gesehen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angefasst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hat,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erklären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müssten,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Schnee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bliebe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anderes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übrig,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Vergleiche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machen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Ähnlichkeiten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hinzuweisen.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Vielleicht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würden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erklären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Schnee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weiss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Watte,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jedoch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wesentlich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schwerer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würde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fast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Eiswürfel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anfühlen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usw.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nachdem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gut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Bilder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Vergleiche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sind,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verwenden,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Vorstellung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bei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Zuhörern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Schnee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schlechter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Selbst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gelungen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ganz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hervorragend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erklären,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Schnee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Zuhörer,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tatsächlich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Schnee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ihn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anfassen,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erstaunt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sagen: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„Ah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–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jetzt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verstehen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erklären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wollte.“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müssen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Deutung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prophetischer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Texte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vorsichtig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gut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abwägen,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welche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Vorstellungen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Prophet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bei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wecken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möchte.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spricht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nun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kommen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bookmarkStart w:id="7" w:name="_Hlk89937696"/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Quelle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spendendem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entspringen;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Hälfte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fliesst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Meer,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Osten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liegt,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Westen.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Winter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Sommer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fliessen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versiegen.“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Sacharja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bookmarkEnd w:id="7"/>
      <w:r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spricht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Fotos,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Karten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Besuchen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bekannt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spricht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kommenden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himmlischen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später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Offenbarung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Erde;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vergangen.“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Himmel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entstehen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himmlische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hinunterkam.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Jerusalem,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herabkommen,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schön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Braut,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Bräutigam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geschmückt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zukünftigen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Ort,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voller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Quelle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spendendem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entspringen;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Hälfte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fliesst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Meer,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Osten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liegt,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Westen.“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Sacharja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Meere,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lastRenderedPageBreak/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spendende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fliessen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vermutlich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Sinnbild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Völker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Oft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Symbol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Menschheit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Völker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z.B.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Psalm: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Tosen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Meere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bringst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Ruhe,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Brausen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Wogen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genauso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Aufruhr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Völker.“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65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typische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hebräische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Poesie.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ersten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Teil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Tosen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Meere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gesprochen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zweiten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Teil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Bild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gedeutet.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Tosen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Meere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steht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Aufruhr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Völker.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ausgehen,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ganze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fliesst.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durch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belebt.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Offenbarung,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letzte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Buch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Testament,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etwas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genauer.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schreibt: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zeigte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Strom,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Kristall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glänzte;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Strom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Lebens.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entspringt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Lammes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fliesst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breite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Strasse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entlang,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mitten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führt.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Ufern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Stroms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wächst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Baum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Lebens.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Zwölfmal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Jahr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trägt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Früchte,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Monat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abgeerntet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kann,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Blätter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Völkern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Heilung.“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–2.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selbst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unversiegbare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Quelle,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fliesst.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Sprudelndes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Quelle,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vorstellen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kann.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Selbst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Hitze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Sommers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versiegen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lassen.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versiegen!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Lebensspender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stehen.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mächtigste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König,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verehrt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angebetet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„Dann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Tag,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beten.“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Sacharja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einzige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König,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Anbetung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verdient,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Schöpfer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Himmels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würdig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Ehre,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Lob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Anbetung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entgegenzunehmen.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bleibt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Quelle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müssen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einmal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warten,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belebende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bekommen,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sagt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Inneren,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heisst,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Ströme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lebendigem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fliessen.“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Durch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bekommen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heute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lebendige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spendende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dieselbe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Quelle,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himmlischen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dort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Quelle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Wassers.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übrigens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Bild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lebendig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machenden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Heiligen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Geist,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kommt,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nachfolgen,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erklärend: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sagte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Hinblick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empfangen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sollten,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glaubten.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Zeitpunkt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offenbart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Besseres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geschehen,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Heiligen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bekommst,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lebendig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macht.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unversiegbare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Quelle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Lebens!</w:t>
      </w:r>
    </w:p>
    <w:p w14:paraId="74517180" w14:textId="37C83899" w:rsidR="004D260B" w:rsidRPr="004D260B" w:rsidRDefault="004D260B" w:rsidP="00CD31C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89950559"/>
      <w:r w:rsidRPr="004D260B">
        <w:rPr>
          <w:rFonts w:ascii="Times New Roman" w:hAnsi="Times New Roman"/>
          <w:b w:val="0"/>
          <w:sz w:val="24"/>
          <w:szCs w:val="24"/>
        </w:rPr>
        <w:t>Echter</w:t>
      </w:r>
      <w:r w:rsidR="00793007">
        <w:rPr>
          <w:rFonts w:ascii="Times New Roman" w:hAnsi="Times New Roman"/>
          <w:b w:val="0"/>
          <w:sz w:val="24"/>
          <w:szCs w:val="24"/>
        </w:rPr>
        <w:t xml:space="preserve"> </w:t>
      </w:r>
      <w:r w:rsidRPr="004D260B">
        <w:rPr>
          <w:rFonts w:ascii="Times New Roman" w:hAnsi="Times New Roman"/>
          <w:b w:val="0"/>
          <w:sz w:val="24"/>
          <w:szCs w:val="24"/>
        </w:rPr>
        <w:t>Frieden</w:t>
      </w:r>
      <w:r w:rsidR="00793007">
        <w:rPr>
          <w:rFonts w:ascii="Times New Roman" w:hAnsi="Times New Roman"/>
          <w:b w:val="0"/>
          <w:sz w:val="24"/>
          <w:szCs w:val="24"/>
        </w:rPr>
        <w:t xml:space="preserve"> </w:t>
      </w:r>
      <w:r w:rsidRPr="004D260B">
        <w:rPr>
          <w:rFonts w:ascii="Times New Roman" w:hAnsi="Times New Roman"/>
          <w:b w:val="0"/>
          <w:sz w:val="24"/>
          <w:szCs w:val="24"/>
        </w:rPr>
        <w:t>ohne</w:t>
      </w:r>
      <w:r w:rsidR="00793007">
        <w:rPr>
          <w:rFonts w:ascii="Times New Roman" w:hAnsi="Times New Roman"/>
          <w:b w:val="0"/>
          <w:sz w:val="24"/>
          <w:szCs w:val="24"/>
        </w:rPr>
        <w:t xml:space="preserve"> </w:t>
      </w:r>
      <w:r w:rsidRPr="004D260B">
        <w:rPr>
          <w:rFonts w:ascii="Times New Roman" w:hAnsi="Times New Roman"/>
          <w:b w:val="0"/>
          <w:sz w:val="24"/>
          <w:szCs w:val="24"/>
        </w:rPr>
        <w:t>Ende!</w:t>
      </w:r>
      <w:bookmarkEnd w:id="8"/>
    </w:p>
    <w:p w14:paraId="06514693" w14:textId="421F3340" w:rsidR="004D260B" w:rsidRPr="004D260B" w:rsidRDefault="004D260B" w:rsidP="00122534">
      <w:pPr>
        <w:pStyle w:val="Absatzregulr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Zentrum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Hauptstadt,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geistliches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Zentrum,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Anbetungsstätte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Völker.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Geba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Rimmon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südlich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verwandelt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Ebene,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Jerusalem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bleibt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erhöht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überragt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übrige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Land.“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Sacharja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Land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absenken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Ebene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verwandeln.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erhöht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hohen,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überragenden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Berg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thronen.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vermutlich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sinnbildlich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verstehen.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will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Deutlichkeit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zeigen,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Zentrum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bedeutendste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Stadt,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niemand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übersehen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Offenbarung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schreibt: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ausgeht,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überall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Reichtum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bringen.“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gesamten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Menschheit,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besiedeln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ausgerichtet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Dort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steht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lastRenderedPageBreak/>
        <w:t>Thron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dort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unversiegbare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spendende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Wasser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Menschen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fliessen.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Niemand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ohne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Anbindung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Stadt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wollen.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Prachtvoll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Vision: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Stadttore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Jerusalems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bestanden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zwölf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Perlen;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jedes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Tor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Perle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geformt.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breite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Strasse,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mitten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führte,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reinem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Gold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durchscheinend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Kristall.“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Versuch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Bildern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Ahnung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vermitteln,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ausserordentlich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prächtig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Stadt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Stadt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heutigen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leider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vorhanden,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Leid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mehr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geben,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Leid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Schmerz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abgenommen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Stadt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ankommen,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Gott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trösten: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Tränen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abwischen.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geben,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Leid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Schmerzen,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Angstschreie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früher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vergangen.“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echter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bestimmen.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enden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schreibt: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„Ihre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Bewohner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Sicherheit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Vernichtung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bedrohen.“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Sacharja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Krankheiten,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Pandemien,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Verbrechen,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Unfälle,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Kriege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Katastrophen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mehr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geben.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werden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können.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hörte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Stimme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Thron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rief: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„Seht,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Wohnung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Menschen!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Mitte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wohnen;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Völkern,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unsere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Zukunft,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unterwegs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sind.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bringen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–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Stadt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Friedens.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grossartig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sein!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ohne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Schrecken,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Schmerz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Leid.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Johannes,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einer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Offenbarung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sah,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sehnte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nach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zukünftigen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Welt,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selbst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musste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Not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römischen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Reich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ertragen.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rief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zu,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nachdem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alles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sehen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durfte: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„Amen.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bookmarkStart w:id="9" w:name="_Hlk90031688"/>
      <w:r w:rsidRPr="004D260B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komm,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D260B">
        <w:rPr>
          <w:rFonts w:ascii="Times New Roman" w:hAnsi="Times New Roman"/>
          <w:bCs/>
          <w:i/>
          <w:noProof/>
          <w:sz w:val="24"/>
          <w:szCs w:val="24"/>
        </w:rPr>
        <w:t>Jesus!“</w:t>
      </w:r>
      <w:bookmarkEnd w:id="9"/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D260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93007">
        <w:rPr>
          <w:rFonts w:ascii="Arial Rounded MT Bold" w:hAnsi="Arial Rounded MT Bold" w:cs="Arial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Beende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Elend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errichte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Friedensreich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neuen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Erde.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unser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Advent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heute: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warten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diesen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Tag!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Wir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warten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Ankunft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Jesus!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Ja,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komm,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Herr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Pr="004D260B">
        <w:rPr>
          <w:rFonts w:ascii="Times New Roman" w:hAnsi="Times New Roman"/>
          <w:sz w:val="24"/>
          <w:szCs w:val="24"/>
        </w:rPr>
        <w:t>Jesus!</w:t>
      </w:r>
    </w:p>
    <w:p w14:paraId="770D1A1D" w14:textId="7261D56E" w:rsidR="004D260B" w:rsidRPr="004D260B" w:rsidRDefault="004D260B" w:rsidP="00C83362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4D260B">
        <w:rPr>
          <w:rFonts w:ascii="Times New Roman" w:hAnsi="Times New Roman"/>
          <w:b w:val="0"/>
          <w:sz w:val="24"/>
          <w:szCs w:val="24"/>
        </w:rPr>
        <w:t>Schlussgedanke</w:t>
      </w:r>
    </w:p>
    <w:p w14:paraId="4A6CB03D" w14:textId="191544B7" w:rsidR="004D260B" w:rsidRPr="009E0B39" w:rsidRDefault="009E0B39" w:rsidP="009E0B39">
      <w:pPr>
        <w:pStyle w:val="Absatzregulr"/>
        <w:spacing w:after="0" w:line="320" w:lineRule="exact"/>
        <w:jc w:val="both"/>
        <w:rPr>
          <w:rFonts w:ascii="Arial Rounded MT Bold" w:hAnsi="Arial Rounded MT Bold" w:cs="Arial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C7DDDB" wp14:editId="2580C543">
                <wp:simplePos x="0" y="0"/>
                <wp:positionH relativeFrom="margin">
                  <wp:posOffset>3930840</wp:posOffset>
                </wp:positionH>
                <wp:positionV relativeFrom="paragraph">
                  <wp:posOffset>4273439</wp:posOffset>
                </wp:positionV>
                <wp:extent cx="2360930" cy="1404620"/>
                <wp:effectExtent l="0" t="0" r="0" b="12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43A5" w14:textId="2F745FB1" w:rsidR="00F1345D" w:rsidRDefault="00F1345D" w:rsidP="00F1345D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9B2AB4">
                              <w:t>12</w:t>
                            </w:r>
                            <w:r>
                              <w:t>. Dezember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7DD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9.5pt;margin-top:336.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aWx4qOEAAAALAQAADwAAAAAAAAAAAAAAAABoBAAAZHJzL2Rvd25yZXYueG1sUEsFBgAAAAAEAAQA&#10;8wAAAHYFAAAAAA==&#10;" stroked="f">
                <v:textbox style="mso-fit-shape-to-text:t">
                  <w:txbxContent>
                    <w:p w14:paraId="259643A5" w14:textId="2F745FB1" w:rsidR="00F1345D" w:rsidRDefault="00F1345D" w:rsidP="00F1345D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9B2AB4">
                        <w:t>12</w:t>
                      </w:r>
                      <w:r>
                        <w:t>. Dezember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60B" w:rsidRPr="004D260B">
        <w:rPr>
          <w:rFonts w:ascii="Times New Roman" w:hAnsi="Times New Roman"/>
          <w:sz w:val="24"/>
          <w:szCs w:val="24"/>
        </w:rPr>
        <w:t>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Geburt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angekündigt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wurde,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meinte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Zacharias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auch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Maria,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Mutter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Friedensreich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heutigen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Jerusalem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aufrichten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würde.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Zacharias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sagte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Lobgesang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über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›Sohn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Höchsten‹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Stammvaters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geben.“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93007">
        <w:rPr>
          <w:rFonts w:ascii="Arial Rounded MT Bold" w:hAnsi="Arial Rounded MT Bold" w:cs="Arial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hatte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Zacharias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richtig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gesehen,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aber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Maria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übersahen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Leid,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ertragen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musste.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Ihnen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war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damals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bewusst,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zuerst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unsere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Schuld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Kreuz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sterben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aufersteht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seinem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Vater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zurückkehren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wird.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Richtig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verstanden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vermutlich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erst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nachdem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auferstanden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war.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Auch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wenn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sich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geholt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hat,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leuchtet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auf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dieser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Erde.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Morgenstern,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bis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heute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unserer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leuchtet,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doch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vielen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Lichter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Advent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Weihnachten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scheinen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verdrängen.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zum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Glück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möglich.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Licht,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neue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Welt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bringen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wird,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von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Sacharja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schrieb.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sagt: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nachfolgt,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umherirren,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93007">
        <w:rPr>
          <w:rFonts w:ascii="Arial Rounded MT Bold" w:hAnsi="Arial Rounded MT Bold" w:cs="Arial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Niemand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kann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dieses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Licht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auslöschen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oder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überstrahlen.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wird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Ziel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bringen.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Liebe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Gottes,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alles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getan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hat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deshalb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Weihnachten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Fest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Liebe: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Fest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Liebe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Gottes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zu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Menschen.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So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schreibt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Paulus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Titus: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„Aber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erschien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Freundlichkeit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Menschenliebe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Retters.“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Titus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Diese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Freundlichkeit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Menschenliebe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Gottes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hat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einen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Namen: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Jesus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–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Kind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der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Krippe.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Und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was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lastRenderedPageBreak/>
        <w:t>das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für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uns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bedeutet,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sagt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Paulus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im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nächsten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sz w:val="24"/>
          <w:szCs w:val="24"/>
        </w:rPr>
        <w:t>Vers:</w:t>
      </w:r>
      <w:r w:rsidR="00793007">
        <w:rPr>
          <w:rFonts w:ascii="Times New Roman" w:hAnsi="Times New Roman"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guten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Taten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vorzuweisen,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bestehen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können.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reinem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Bad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Taufe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Bad,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wurden,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erneuert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7930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D260B" w:rsidRPr="004D260B">
        <w:rPr>
          <w:rFonts w:ascii="Times New Roman" w:hAnsi="Times New Roman"/>
          <w:bCs/>
          <w:i/>
          <w:noProof/>
          <w:sz w:val="24"/>
          <w:szCs w:val="24"/>
        </w:rPr>
        <w:t>Geist.“</w:t>
      </w:r>
      <w:r w:rsidR="00793007">
        <w:rPr>
          <w:rFonts w:ascii="Arial Rounded MT Bold" w:hAnsi="Arial Rounded MT Bold" w:cs="Arial"/>
        </w:rPr>
        <w:t xml:space="preserve"> 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Titus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93007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="004D260B" w:rsidRPr="004D260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93007">
        <w:rPr>
          <w:rFonts w:ascii="Arial Rounded MT Bold" w:hAnsi="Arial Rounded MT Bold" w:cs="Arial"/>
        </w:rPr>
        <w:t xml:space="preserve"> </w:t>
      </w:r>
      <w:bookmarkEnd w:id="1"/>
      <w:bookmarkEnd w:id="2"/>
      <w:bookmarkEnd w:id="3"/>
    </w:p>
    <w:sectPr w:rsidR="004D260B" w:rsidRPr="009E0B39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5FC68" w14:textId="77777777" w:rsidR="007A639F" w:rsidRDefault="007A639F">
      <w:r>
        <w:separator/>
      </w:r>
    </w:p>
  </w:endnote>
  <w:endnote w:type="continuationSeparator" w:id="0">
    <w:p w14:paraId="5FB6EC49" w14:textId="77777777" w:rsidR="007A639F" w:rsidRDefault="007A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300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55774DD2" w:rsidR="00615E7B" w:rsidRDefault="00C114D3" w:rsidP="00A72170">
    <w:pPr>
      <w:pStyle w:val="Fuzeile"/>
      <w:tabs>
        <w:tab w:val="clear" w:pos="4320"/>
        <w:tab w:val="clear" w:pos="8640"/>
        <w:tab w:val="left" w:pos="6093"/>
      </w:tabs>
    </w:pPr>
    <w:r w:rsidRPr="00C114D3">
      <w:t>Sterne des kommenden Retters (</w:t>
    </w:r>
    <w:r w:rsidR="009B2AB4">
      <w:t>3</w:t>
    </w:r>
    <w:r w:rsidRPr="00C114D3">
      <w:t>/3)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51FF9" w14:textId="77777777" w:rsidR="007A639F" w:rsidRDefault="007A639F">
      <w:r>
        <w:separator/>
      </w:r>
    </w:p>
  </w:footnote>
  <w:footnote w:type="continuationSeparator" w:id="0">
    <w:p w14:paraId="12158DF8" w14:textId="77777777" w:rsidR="007A639F" w:rsidRDefault="007A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07D1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534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8788F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3AAB"/>
    <w:rsid w:val="00215C35"/>
    <w:rsid w:val="0021621B"/>
    <w:rsid w:val="00216417"/>
    <w:rsid w:val="00216A23"/>
    <w:rsid w:val="00217CA5"/>
    <w:rsid w:val="00220FF0"/>
    <w:rsid w:val="00221B86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47974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38B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2A2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774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0B7A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096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6B91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2D01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60B"/>
    <w:rsid w:val="004D2F21"/>
    <w:rsid w:val="004D32BB"/>
    <w:rsid w:val="004D3B97"/>
    <w:rsid w:val="004D4EFE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473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D5998"/>
    <w:rsid w:val="005E1697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2BAD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61D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1B14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3699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CDB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007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39F"/>
    <w:rsid w:val="007A6B21"/>
    <w:rsid w:val="007A78C9"/>
    <w:rsid w:val="007B097D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09B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04C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0D59"/>
    <w:rsid w:val="009A0FCF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2AB4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B39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8E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2E"/>
    <w:rsid w:val="00A43F98"/>
    <w:rsid w:val="00A442FA"/>
    <w:rsid w:val="00A44751"/>
    <w:rsid w:val="00A45870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2FC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28A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43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14A7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14D3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4417"/>
    <w:rsid w:val="00C451FD"/>
    <w:rsid w:val="00C46682"/>
    <w:rsid w:val="00C46B28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8C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3362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15C8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1C8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0459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0570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464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056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26C6"/>
    <w:rsid w:val="00E85B2D"/>
    <w:rsid w:val="00E85EBB"/>
    <w:rsid w:val="00E868DF"/>
    <w:rsid w:val="00E900FC"/>
    <w:rsid w:val="00E9038C"/>
    <w:rsid w:val="00E90638"/>
    <w:rsid w:val="00E90EA8"/>
    <w:rsid w:val="00E93046"/>
    <w:rsid w:val="00E941E7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6521"/>
    <w:rsid w:val="00F0700A"/>
    <w:rsid w:val="00F1073C"/>
    <w:rsid w:val="00F10A01"/>
    <w:rsid w:val="00F11B4F"/>
    <w:rsid w:val="00F1218D"/>
    <w:rsid w:val="00F1345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5AE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1B44"/>
    <w:rsid w:val="00F9282E"/>
    <w:rsid w:val="00F95CAB"/>
    <w:rsid w:val="00F97A8A"/>
    <w:rsid w:val="00FA100D"/>
    <w:rsid w:val="00FA2C8A"/>
    <w:rsid w:val="00FA5DBD"/>
    <w:rsid w:val="00FA640D"/>
    <w:rsid w:val="00FA6D4A"/>
    <w:rsid w:val="00FB02AC"/>
    <w:rsid w:val="00FB032E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969F-ECB0-4060-BC53-3A73470C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2492</Words>
  <Characters>12778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Sterne des kommenden Retters - Teil 3/3 - Der Stern leuchtet uns zum Ziel! - Leseexemplar</vt:lpstr>
    </vt:vector>
  </TitlesOfParts>
  <Company/>
  <LinksUpToDate>false</LinksUpToDate>
  <CharactersWithSpaces>15240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 des kommenden Retters - Teil 3/3 - Der Stern leuchtet uns zum Ziel! - Leseexemplar</dc:title>
  <dc:creator>Jürg Birnstiel</dc:creator>
  <cp:lastModifiedBy>Me</cp:lastModifiedBy>
  <cp:revision>19</cp:revision>
  <cp:lastPrinted>2020-03-30T12:05:00Z</cp:lastPrinted>
  <dcterms:created xsi:type="dcterms:W3CDTF">2021-12-10T16:33:00Z</dcterms:created>
  <dcterms:modified xsi:type="dcterms:W3CDTF">2021-12-27T20:44:00Z</dcterms:modified>
</cp:coreProperties>
</file>