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E1" w:rsidRDefault="00FA6317">
      <w:pPr>
        <w:spacing w:line="240" w:lineRule="auto"/>
        <w:jc w:val="center"/>
        <w:rPr>
          <w:rStyle w:val="Fettdruck"/>
          <w:rFonts w:eastAsia="MS Mincho"/>
        </w:rPr>
      </w:pPr>
      <w:r>
        <w:rPr>
          <w:rStyle w:val="Fettdruck"/>
          <w:rFonts w:eastAsia="MS Mincho"/>
        </w:rPr>
        <w:t>Die Apokryphen - Teil des Wortes Gottes?</w:t>
      </w:r>
    </w:p>
    <w:p w:rsidR="00D843E1" w:rsidRDefault="00D843E1">
      <w:pPr>
        <w:spacing w:line="240" w:lineRule="auto"/>
        <w:rPr>
          <w:rFonts w:eastAsia="MS Mincho"/>
        </w:rPr>
      </w:pP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Im Verlauf der letzten Jahre hat sich tendenzmäßig immer mehr gezeigt, dass Bibeln auf den Markt gebracht werden, die Hinweise enthalten wie: „Die Bibel, Altes und Neues Testament mit (bzw. ohne) die Spätschriften des Alten Testamentes“. Bei diesen sog</w:t>
      </w:r>
      <w:r>
        <w:rPr>
          <w:rFonts w:eastAsia="MS Mincho"/>
        </w:rPr>
        <w:t>e</w:t>
      </w:r>
      <w:r>
        <w:rPr>
          <w:rFonts w:eastAsia="MS Mincho"/>
        </w:rPr>
        <w:t>nannten Spätschriften des Alten Testaments handelt es sich um die Apokryphen. Die k</w:t>
      </w:r>
      <w:r>
        <w:rPr>
          <w:rFonts w:eastAsia="MS Mincho"/>
        </w:rPr>
        <w:t>a</w:t>
      </w:r>
      <w:r>
        <w:rPr>
          <w:rFonts w:eastAsia="MS Mincho"/>
        </w:rPr>
        <w:t xml:space="preserve">tholische Kirche gibt ihnen die Bezeichnung Spätschriften des Alten Testaments oder </w:t>
      </w:r>
      <w:proofErr w:type="spellStart"/>
      <w:r>
        <w:rPr>
          <w:rFonts w:eastAsia="MS Mincho"/>
        </w:rPr>
        <w:t>de</w:t>
      </w:r>
      <w:r>
        <w:rPr>
          <w:rFonts w:eastAsia="MS Mincho"/>
        </w:rPr>
        <w:t>u</w:t>
      </w:r>
      <w:r>
        <w:rPr>
          <w:rFonts w:eastAsia="MS Mincho"/>
        </w:rPr>
        <w:t>terokanonische</w:t>
      </w:r>
      <w:proofErr w:type="spellEnd"/>
      <w:r>
        <w:rPr>
          <w:rFonts w:eastAsia="MS Mincho"/>
        </w:rPr>
        <w:t xml:space="preserve"> Bücher. Im protestantischen Raum werden sie traditionell Apokryphen genannt. Im weiteren Verlauf dieser Abhandlung bleiben wir bei der traditionellen B</w:t>
      </w:r>
      <w:r>
        <w:rPr>
          <w:rFonts w:eastAsia="MS Mincho"/>
        </w:rPr>
        <w:t>e</w:t>
      </w:r>
      <w:r>
        <w:rPr>
          <w:rFonts w:eastAsia="MS Mincho"/>
        </w:rPr>
        <w:t>zeichnung Apokryphen. Wir wollen der Frage nachgehen, ob diese Bücher wirklich zum Kanon der Heiligen Schrift gehören und dabei auf ihr Zeugnis selbst sowie auf die g</w:t>
      </w:r>
      <w:r>
        <w:rPr>
          <w:rFonts w:eastAsia="MS Mincho"/>
        </w:rPr>
        <w:t>e</w:t>
      </w:r>
      <w:r>
        <w:rPr>
          <w:rFonts w:eastAsia="MS Mincho"/>
        </w:rPr>
        <w:t>schichtliche Überlieferung und Entwicklung eingehen.</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Der Begriff „apokryph“ und die Anzahl der Bücher</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Es handelt sich bei den Apokryphen um eine Sammlung von Schriften, die in der Zeit von 300 v. Chr. bis 100 n. Chr. entstanden sind. Die Originale waren in hebräischer Spr</w:t>
      </w:r>
      <w:r>
        <w:rPr>
          <w:rFonts w:eastAsia="MS Mincho"/>
        </w:rPr>
        <w:t>a</w:t>
      </w:r>
      <w:r>
        <w:rPr>
          <w:rFonts w:eastAsia="MS Mincho"/>
        </w:rPr>
        <w:t>che verfasst. Die meisten gingen jedoch verloren und liegen heute nur noch in griechischer Übersetzung vor. Von den griechischen Manuskripten besitzen wir eine ganze Anzahl, die sich jedoch in der Länge oft unterscheiden. Daraus resultiert, dass sich bei unseren Übe</w:t>
      </w:r>
      <w:r>
        <w:rPr>
          <w:rFonts w:eastAsia="MS Mincho"/>
        </w:rPr>
        <w:t>r</w:t>
      </w:r>
      <w:r>
        <w:rPr>
          <w:rFonts w:eastAsia="MS Mincho"/>
        </w:rPr>
        <w:t xml:space="preserve">setzungen Verschiebungen in der Verszählung ergeben, je nachdem, welches Manuskript der Übersetzer benutzt hat. Im hebräischen Kanon des Alten Testaments finden wir die Apokryphen nicht, jedoch in den ersten Übersetzungen der Heiligen Schrift in andere Sprachen, der griechischen Septuaginta, der syrischen </w:t>
      </w:r>
      <w:proofErr w:type="spellStart"/>
      <w:r>
        <w:rPr>
          <w:rFonts w:eastAsia="MS Mincho"/>
        </w:rPr>
        <w:t>Peschitta</w:t>
      </w:r>
      <w:proofErr w:type="spellEnd"/>
      <w:r>
        <w:rPr>
          <w:rFonts w:eastAsia="MS Mincho"/>
        </w:rPr>
        <w:t xml:space="preserve"> und der lateinischen Vu</w:t>
      </w:r>
      <w:r>
        <w:rPr>
          <w:rFonts w:eastAsia="MS Mincho"/>
        </w:rPr>
        <w:t>l</w:t>
      </w:r>
      <w:r>
        <w:rPr>
          <w:rFonts w:eastAsia="MS Mincho"/>
        </w:rPr>
        <w:t>gata.</w:t>
      </w:r>
    </w:p>
    <w:p w:rsidR="00D843E1" w:rsidRDefault="00FA6317">
      <w:pPr>
        <w:pStyle w:val="Text1Zeileeingerckt"/>
        <w:spacing w:line="240" w:lineRule="auto"/>
        <w:rPr>
          <w:rFonts w:eastAsia="MS Mincho"/>
        </w:rPr>
      </w:pPr>
      <w:r>
        <w:rPr>
          <w:rFonts w:eastAsia="MS Mincho"/>
        </w:rPr>
        <w:t>„Das Wort ‚apokryph’ stammt aus dem Griechischen und bedeutet ‚verborgen, geheim’. Es wurde zuerst von dem lateinischen Kirchenvater Hieronymus (gestorben im Jahre 420) auf bestimmte Bücher angewandt, die in den griechischen und lateinischen Bibeln vo</w:t>
      </w:r>
      <w:r>
        <w:rPr>
          <w:rFonts w:eastAsia="MS Mincho"/>
        </w:rPr>
        <w:t>r</w:t>
      </w:r>
      <w:r>
        <w:rPr>
          <w:rFonts w:eastAsia="MS Mincho"/>
        </w:rPr>
        <w:t>kommen“ (</w:t>
      </w:r>
      <w:r>
        <w:rPr>
          <w:rStyle w:val="KursivimFlietext"/>
          <w:rFonts w:eastAsia="MS Mincho"/>
        </w:rPr>
        <w:t>Handbuch zur Bibel</w:t>
      </w:r>
      <w:r>
        <w:rPr>
          <w:rFonts w:eastAsia="MS Mincho"/>
        </w:rPr>
        <w:t>, Wuppertal: R. Brockhaus Verlag, S.461). Die Apokryphen werden auch, wie bereits erwähnt, „</w:t>
      </w:r>
      <w:proofErr w:type="spellStart"/>
      <w:r>
        <w:rPr>
          <w:rFonts w:eastAsia="MS Mincho"/>
        </w:rPr>
        <w:t>deuterokanonische</w:t>
      </w:r>
      <w:proofErr w:type="spellEnd"/>
      <w:r>
        <w:rPr>
          <w:rFonts w:eastAsia="MS Mincho"/>
        </w:rPr>
        <w:t xml:space="preserve"> Bücher“ genannt. Dieser Begriff wurde von </w:t>
      </w:r>
      <w:proofErr w:type="spellStart"/>
      <w:r>
        <w:rPr>
          <w:rFonts w:eastAsia="MS Mincho"/>
        </w:rPr>
        <w:t>Sisto</w:t>
      </w:r>
      <w:proofErr w:type="spellEnd"/>
      <w:r>
        <w:rPr>
          <w:rFonts w:eastAsia="MS Mincho"/>
        </w:rPr>
        <w:t xml:space="preserve"> </w:t>
      </w:r>
      <w:proofErr w:type="spellStart"/>
      <w:r>
        <w:rPr>
          <w:rFonts w:eastAsia="MS Mincho"/>
        </w:rPr>
        <w:t>Senese</w:t>
      </w:r>
      <w:proofErr w:type="spellEnd"/>
      <w:r>
        <w:rPr>
          <w:rFonts w:eastAsia="MS Mincho"/>
        </w:rPr>
        <w:t xml:space="preserve"> (gestorben 1556) geprägt, was „zweites Verzeichnis der inspirie</w:t>
      </w:r>
      <w:r>
        <w:rPr>
          <w:rFonts w:eastAsia="MS Mincho"/>
        </w:rPr>
        <w:t>r</w:t>
      </w:r>
      <w:r>
        <w:rPr>
          <w:rFonts w:eastAsia="MS Mincho"/>
        </w:rPr>
        <w:t xml:space="preserve">ten Bücher“ bedeutet (vgl. Roberto </w:t>
      </w:r>
      <w:proofErr w:type="spellStart"/>
      <w:r>
        <w:rPr>
          <w:rFonts w:eastAsia="MS Mincho"/>
        </w:rPr>
        <w:t>Wisbet</w:t>
      </w:r>
      <w:proofErr w:type="spellEnd"/>
      <w:r>
        <w:rPr>
          <w:rFonts w:eastAsia="MS Mincho"/>
        </w:rPr>
        <w:t xml:space="preserve">, </w:t>
      </w:r>
      <w:r>
        <w:rPr>
          <w:rStyle w:val="KursivimFlietext"/>
          <w:rFonts w:eastAsia="MS Mincho"/>
        </w:rPr>
        <w:t>Das Evangelium sagt nicht so</w:t>
      </w:r>
      <w:r>
        <w:rPr>
          <w:rFonts w:eastAsia="MS Mincho"/>
        </w:rPr>
        <w:t>, Bibe</w:t>
      </w:r>
      <w:r>
        <w:rPr>
          <w:rFonts w:eastAsia="MS Mincho"/>
        </w:rPr>
        <w:t>r</w:t>
      </w:r>
      <w:r>
        <w:rPr>
          <w:rFonts w:eastAsia="MS Mincho"/>
        </w:rPr>
        <w:t>stein/Aargau: Verlag Freundesdienst, S.21). Zu den Apokryphen zählen folgende Bücher:</w:t>
      </w:r>
    </w:p>
    <w:p w:rsidR="00D843E1" w:rsidRDefault="00D843E1">
      <w:pPr>
        <w:spacing w:line="240" w:lineRule="auto"/>
        <w:rPr>
          <w:rFonts w:eastAsia="MS Mincho"/>
        </w:rPr>
      </w:pPr>
    </w:p>
    <w:p w:rsidR="00D843E1" w:rsidRDefault="00FA6317">
      <w:pPr>
        <w:spacing w:line="240" w:lineRule="auto"/>
        <w:ind w:left="1814"/>
        <w:rPr>
          <w:rFonts w:eastAsia="MS Mincho"/>
        </w:rPr>
      </w:pPr>
      <w:r>
        <w:rPr>
          <w:rFonts w:eastAsia="MS Mincho"/>
        </w:rPr>
        <w:t xml:space="preserve"> 1. Erstes </w:t>
      </w:r>
      <w:proofErr w:type="spellStart"/>
      <w:r>
        <w:rPr>
          <w:rFonts w:eastAsia="MS Mincho"/>
        </w:rPr>
        <w:t>Esrabuch</w:t>
      </w:r>
      <w:proofErr w:type="spellEnd"/>
      <w:r>
        <w:rPr>
          <w:rFonts w:eastAsia="MS Mincho"/>
        </w:rPr>
        <w:t xml:space="preserve"> (auch 3. Esra genannt),</w:t>
      </w:r>
    </w:p>
    <w:p w:rsidR="00D843E1" w:rsidRDefault="00FA6317">
      <w:pPr>
        <w:spacing w:line="240" w:lineRule="auto"/>
        <w:ind w:left="1814"/>
        <w:rPr>
          <w:rFonts w:eastAsia="MS Mincho"/>
        </w:rPr>
      </w:pPr>
      <w:r>
        <w:rPr>
          <w:rFonts w:eastAsia="MS Mincho"/>
        </w:rPr>
        <w:t xml:space="preserve"> 2. Zweites </w:t>
      </w:r>
      <w:proofErr w:type="spellStart"/>
      <w:r>
        <w:rPr>
          <w:rFonts w:eastAsia="MS Mincho"/>
        </w:rPr>
        <w:t>Esrabuch</w:t>
      </w:r>
      <w:proofErr w:type="spellEnd"/>
      <w:r>
        <w:rPr>
          <w:rFonts w:eastAsia="MS Mincho"/>
        </w:rPr>
        <w:t xml:space="preserve"> (auch 4. Esra genannt),</w:t>
      </w:r>
    </w:p>
    <w:p w:rsidR="00D843E1" w:rsidRDefault="00FA6317">
      <w:pPr>
        <w:spacing w:line="240" w:lineRule="auto"/>
        <w:ind w:left="1814"/>
        <w:rPr>
          <w:rFonts w:eastAsia="MS Mincho"/>
        </w:rPr>
      </w:pPr>
      <w:r>
        <w:rPr>
          <w:rFonts w:eastAsia="MS Mincho"/>
        </w:rPr>
        <w:t xml:space="preserve"> 3. </w:t>
      </w:r>
      <w:proofErr w:type="spellStart"/>
      <w:r>
        <w:rPr>
          <w:rFonts w:eastAsia="MS Mincho"/>
        </w:rPr>
        <w:t>Tobit</w:t>
      </w:r>
      <w:proofErr w:type="spellEnd"/>
      <w:r>
        <w:rPr>
          <w:rFonts w:eastAsia="MS Mincho"/>
        </w:rPr>
        <w:t xml:space="preserve"> (oder Tobias),</w:t>
      </w:r>
    </w:p>
    <w:p w:rsidR="00D843E1" w:rsidRDefault="00FA6317">
      <w:pPr>
        <w:spacing w:line="240" w:lineRule="auto"/>
        <w:ind w:left="1814"/>
        <w:rPr>
          <w:rFonts w:eastAsia="MS Mincho"/>
        </w:rPr>
      </w:pPr>
      <w:r>
        <w:rPr>
          <w:rFonts w:eastAsia="MS Mincho"/>
        </w:rPr>
        <w:t xml:space="preserve"> 4. Judith,</w:t>
      </w:r>
    </w:p>
    <w:p w:rsidR="00D843E1" w:rsidRDefault="00FA6317">
      <w:pPr>
        <w:spacing w:line="240" w:lineRule="auto"/>
        <w:ind w:left="1814"/>
        <w:rPr>
          <w:rFonts w:eastAsia="MS Mincho"/>
        </w:rPr>
      </w:pPr>
      <w:r>
        <w:rPr>
          <w:rFonts w:eastAsia="MS Mincho"/>
        </w:rPr>
        <w:t xml:space="preserve"> 5. Die Zusätze zum Buch Esther,</w:t>
      </w:r>
    </w:p>
    <w:p w:rsidR="00D843E1" w:rsidRDefault="00FA6317">
      <w:pPr>
        <w:spacing w:line="240" w:lineRule="auto"/>
        <w:ind w:left="1814"/>
        <w:rPr>
          <w:rFonts w:eastAsia="MS Mincho"/>
        </w:rPr>
      </w:pPr>
      <w:r>
        <w:rPr>
          <w:rFonts w:eastAsia="MS Mincho"/>
        </w:rPr>
        <w:t xml:space="preserve"> 6. Die Weisheit Salomos,</w:t>
      </w:r>
    </w:p>
    <w:p w:rsidR="00D843E1" w:rsidRDefault="00FA6317">
      <w:pPr>
        <w:spacing w:line="240" w:lineRule="auto"/>
        <w:ind w:left="1814"/>
        <w:rPr>
          <w:rFonts w:eastAsia="MS Mincho"/>
        </w:rPr>
      </w:pPr>
      <w:r>
        <w:rPr>
          <w:rFonts w:eastAsia="MS Mincho"/>
        </w:rPr>
        <w:t xml:space="preserve"> 7. Jesus </w:t>
      </w:r>
      <w:proofErr w:type="spellStart"/>
      <w:r>
        <w:rPr>
          <w:rFonts w:eastAsia="MS Mincho"/>
        </w:rPr>
        <w:t>Sirach</w:t>
      </w:r>
      <w:proofErr w:type="spellEnd"/>
      <w:r>
        <w:rPr>
          <w:rFonts w:eastAsia="MS Mincho"/>
        </w:rPr>
        <w:t>,</w:t>
      </w:r>
    </w:p>
    <w:p w:rsidR="00D843E1" w:rsidRDefault="00FA6317">
      <w:pPr>
        <w:spacing w:line="240" w:lineRule="auto"/>
        <w:ind w:left="1814"/>
        <w:rPr>
          <w:rFonts w:eastAsia="MS Mincho"/>
        </w:rPr>
      </w:pPr>
      <w:r>
        <w:rPr>
          <w:rFonts w:eastAsia="MS Mincho"/>
        </w:rPr>
        <w:t xml:space="preserve"> 8. Baruch,</w:t>
      </w:r>
    </w:p>
    <w:p w:rsidR="00D843E1" w:rsidRDefault="00FA6317">
      <w:pPr>
        <w:spacing w:line="240" w:lineRule="auto"/>
        <w:ind w:left="1814"/>
        <w:rPr>
          <w:rFonts w:eastAsia="MS Mincho"/>
        </w:rPr>
      </w:pPr>
      <w:r>
        <w:rPr>
          <w:rFonts w:eastAsia="MS Mincho"/>
        </w:rPr>
        <w:t xml:space="preserve"> 9. Der Brief des Jeremia,</w:t>
      </w:r>
    </w:p>
    <w:p w:rsidR="00D843E1" w:rsidRDefault="00FA6317">
      <w:pPr>
        <w:spacing w:line="240" w:lineRule="auto"/>
        <w:ind w:left="1814"/>
        <w:rPr>
          <w:rFonts w:eastAsia="MS Mincho"/>
        </w:rPr>
      </w:pPr>
      <w:r>
        <w:rPr>
          <w:rFonts w:eastAsia="MS Mincho"/>
        </w:rPr>
        <w:t>10. Der Gesang der drei Männer im Feuerofen,</w:t>
      </w:r>
    </w:p>
    <w:p w:rsidR="00D843E1" w:rsidRDefault="00FA6317">
      <w:pPr>
        <w:spacing w:line="240" w:lineRule="auto"/>
        <w:ind w:left="1814"/>
        <w:rPr>
          <w:rFonts w:eastAsia="MS Mincho"/>
        </w:rPr>
      </w:pPr>
      <w:r>
        <w:rPr>
          <w:rFonts w:eastAsia="MS Mincho"/>
        </w:rPr>
        <w:t>11. Die Geschichte von Susanna und Daniel,</w:t>
      </w:r>
    </w:p>
    <w:p w:rsidR="00D843E1" w:rsidRDefault="00FA6317">
      <w:pPr>
        <w:spacing w:line="240" w:lineRule="auto"/>
        <w:ind w:left="1814"/>
        <w:rPr>
          <w:rFonts w:eastAsia="MS Mincho"/>
        </w:rPr>
      </w:pPr>
      <w:r>
        <w:rPr>
          <w:rFonts w:eastAsia="MS Mincho"/>
        </w:rPr>
        <w:t>12. Vom Bel zu Babel,</w:t>
      </w:r>
    </w:p>
    <w:p w:rsidR="00D843E1" w:rsidRDefault="00FA6317">
      <w:pPr>
        <w:spacing w:line="240" w:lineRule="auto"/>
        <w:ind w:left="1814"/>
        <w:rPr>
          <w:rFonts w:eastAsia="MS Mincho"/>
        </w:rPr>
      </w:pPr>
      <w:r>
        <w:rPr>
          <w:rFonts w:eastAsia="MS Mincho"/>
        </w:rPr>
        <w:t>13. Vom Drachen zu Babel,</w:t>
      </w:r>
    </w:p>
    <w:p w:rsidR="00D843E1" w:rsidRDefault="00FA6317">
      <w:pPr>
        <w:spacing w:line="240" w:lineRule="auto"/>
        <w:ind w:left="1814"/>
        <w:rPr>
          <w:rFonts w:eastAsia="MS Mincho"/>
        </w:rPr>
      </w:pPr>
      <w:r>
        <w:rPr>
          <w:rFonts w:eastAsia="MS Mincho"/>
        </w:rPr>
        <w:t xml:space="preserve">14. Das Gebet </w:t>
      </w:r>
      <w:proofErr w:type="spellStart"/>
      <w:r>
        <w:rPr>
          <w:rFonts w:eastAsia="MS Mincho"/>
        </w:rPr>
        <w:t>Manasses</w:t>
      </w:r>
      <w:proofErr w:type="spellEnd"/>
      <w:r>
        <w:rPr>
          <w:rFonts w:eastAsia="MS Mincho"/>
        </w:rPr>
        <w:t>,</w:t>
      </w:r>
    </w:p>
    <w:p w:rsidR="00D843E1" w:rsidRDefault="00FA6317">
      <w:pPr>
        <w:spacing w:line="240" w:lineRule="auto"/>
        <w:ind w:left="1814"/>
        <w:rPr>
          <w:rFonts w:eastAsia="MS Mincho"/>
        </w:rPr>
      </w:pPr>
      <w:r>
        <w:rPr>
          <w:rFonts w:eastAsia="MS Mincho"/>
        </w:rPr>
        <w:t xml:space="preserve">15. Erstes und zweites </w:t>
      </w:r>
      <w:proofErr w:type="spellStart"/>
      <w:r>
        <w:rPr>
          <w:rFonts w:eastAsia="MS Mincho"/>
        </w:rPr>
        <w:t>Makkabäerbuch</w:t>
      </w:r>
      <w:proofErr w:type="spellEnd"/>
      <w:r>
        <w:rPr>
          <w:rFonts w:eastAsia="MS Mincho"/>
        </w:rPr>
        <w:t>,</w:t>
      </w:r>
    </w:p>
    <w:p w:rsidR="00D843E1" w:rsidRDefault="00FA6317">
      <w:pPr>
        <w:spacing w:line="240" w:lineRule="auto"/>
        <w:ind w:left="1814"/>
        <w:rPr>
          <w:rFonts w:eastAsia="MS Mincho"/>
        </w:rPr>
      </w:pPr>
      <w:r>
        <w:rPr>
          <w:rFonts w:eastAsia="MS Mincho"/>
        </w:rPr>
        <w:t xml:space="preserve">16. Das Gebet </w:t>
      </w:r>
      <w:proofErr w:type="spellStart"/>
      <w:r>
        <w:rPr>
          <w:rFonts w:eastAsia="MS Mincho"/>
        </w:rPr>
        <w:t>Asarjas</w:t>
      </w:r>
      <w:proofErr w:type="spellEnd"/>
      <w:r>
        <w:rPr>
          <w:rFonts w:eastAsia="MS Mincho"/>
        </w:rPr>
        <w:t>.</w:t>
      </w:r>
    </w:p>
    <w:p w:rsidR="00D843E1" w:rsidRDefault="00D843E1">
      <w:pPr>
        <w:spacing w:line="240" w:lineRule="auto"/>
        <w:rPr>
          <w:rFonts w:eastAsia="MS Mincho"/>
        </w:rPr>
      </w:pPr>
    </w:p>
    <w:p w:rsidR="00D843E1" w:rsidRDefault="00FA6317">
      <w:pPr>
        <w:spacing w:line="240" w:lineRule="auto"/>
        <w:rPr>
          <w:rFonts w:eastAsia="MS Mincho"/>
        </w:rPr>
      </w:pPr>
      <w:r>
        <w:rPr>
          <w:rFonts w:eastAsia="MS Mincho"/>
        </w:rPr>
        <w:lastRenderedPageBreak/>
        <w:t>Alles in allem haben wir es bei den Apokryphen mit einer beachtlichen Anzahl von Schri</w:t>
      </w:r>
      <w:r>
        <w:rPr>
          <w:rFonts w:eastAsia="MS Mincho"/>
        </w:rPr>
        <w:t>f</w:t>
      </w:r>
      <w:r>
        <w:rPr>
          <w:rFonts w:eastAsia="MS Mincho"/>
        </w:rPr>
        <w:t>ten zu tun. Man kann sie in vier Kategorien einteilen.</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Die Geschichtsbücher</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Zu dieser Kategorie zählen das erste (bzw. dritte) </w:t>
      </w:r>
      <w:proofErr w:type="spellStart"/>
      <w:r>
        <w:rPr>
          <w:rFonts w:eastAsia="MS Mincho"/>
        </w:rPr>
        <w:t>Esrabuch</w:t>
      </w:r>
      <w:proofErr w:type="spellEnd"/>
      <w:r>
        <w:rPr>
          <w:rFonts w:eastAsia="MS Mincho"/>
        </w:rPr>
        <w:t xml:space="preserve"> sowie das erste und das zweite </w:t>
      </w:r>
      <w:proofErr w:type="spellStart"/>
      <w:r>
        <w:rPr>
          <w:rFonts w:eastAsia="MS Mincho"/>
        </w:rPr>
        <w:t>Makkabäerbuch</w:t>
      </w:r>
      <w:proofErr w:type="spellEnd"/>
      <w:r>
        <w:rPr>
          <w:rFonts w:eastAsia="MS Mincho"/>
        </w:rPr>
        <w:t xml:space="preserve">. Das erste </w:t>
      </w:r>
      <w:proofErr w:type="spellStart"/>
      <w:r>
        <w:rPr>
          <w:rFonts w:eastAsia="MS Mincho"/>
        </w:rPr>
        <w:t>Esrabuch</w:t>
      </w:r>
      <w:proofErr w:type="spellEnd"/>
      <w:r>
        <w:rPr>
          <w:rFonts w:eastAsia="MS Mincho"/>
        </w:rPr>
        <w:t xml:space="preserve"> entspricht inhaltlich im Großen und Ganzen dem </w:t>
      </w:r>
      <w:proofErr w:type="spellStart"/>
      <w:r>
        <w:rPr>
          <w:rFonts w:eastAsia="MS Mincho"/>
        </w:rPr>
        <w:t>kononischen</w:t>
      </w:r>
      <w:proofErr w:type="spellEnd"/>
      <w:r>
        <w:rPr>
          <w:rFonts w:eastAsia="MS Mincho"/>
        </w:rPr>
        <w:t xml:space="preserve"> Buch Esra. Der größte Zusatz ist „der Wettstreit der drei Pagen des Darius“. Er soll erklären, auf welche Art und Weise </w:t>
      </w:r>
      <w:proofErr w:type="spellStart"/>
      <w:r>
        <w:rPr>
          <w:rFonts w:eastAsia="MS Mincho"/>
        </w:rPr>
        <w:t>Serubbabel</w:t>
      </w:r>
      <w:proofErr w:type="spellEnd"/>
      <w:r>
        <w:rPr>
          <w:rFonts w:eastAsia="MS Mincho"/>
        </w:rPr>
        <w:t xml:space="preserve"> die Genehmigung des pe</w:t>
      </w:r>
      <w:r>
        <w:rPr>
          <w:rFonts w:eastAsia="MS Mincho"/>
        </w:rPr>
        <w:t>r</w:t>
      </w:r>
      <w:r>
        <w:rPr>
          <w:rFonts w:eastAsia="MS Mincho"/>
        </w:rPr>
        <w:t>sischen Königs erhielt, den Tempel in Jerusalem wieder aufzubauen.</w:t>
      </w:r>
    </w:p>
    <w:p w:rsidR="00D843E1" w:rsidRDefault="00FA6317">
      <w:pPr>
        <w:pStyle w:val="Text1Zeileeingerckt"/>
        <w:spacing w:line="240" w:lineRule="auto"/>
        <w:rPr>
          <w:rFonts w:eastAsia="MS Mincho"/>
        </w:rPr>
      </w:pPr>
      <w:r>
        <w:rPr>
          <w:rFonts w:eastAsia="MS Mincho"/>
        </w:rPr>
        <w:t xml:space="preserve">Das erste und zweite </w:t>
      </w:r>
      <w:proofErr w:type="spellStart"/>
      <w:r>
        <w:rPr>
          <w:rFonts w:eastAsia="MS Mincho"/>
        </w:rPr>
        <w:t>Makkabäerbuch</w:t>
      </w:r>
      <w:proofErr w:type="spellEnd"/>
      <w:r>
        <w:rPr>
          <w:rFonts w:eastAsia="MS Mincho"/>
        </w:rPr>
        <w:t xml:space="preserve"> fällt in die Herrschaftszeit des syrischen Her</w:t>
      </w:r>
      <w:r>
        <w:rPr>
          <w:rFonts w:eastAsia="MS Mincho"/>
        </w:rPr>
        <w:t>r</w:t>
      </w:r>
      <w:r>
        <w:rPr>
          <w:rFonts w:eastAsia="MS Mincho"/>
        </w:rPr>
        <w:t xml:space="preserve">schers Antiochus </w:t>
      </w:r>
      <w:proofErr w:type="spellStart"/>
      <w:r>
        <w:rPr>
          <w:rFonts w:eastAsia="MS Mincho"/>
        </w:rPr>
        <w:t>Epiphanes</w:t>
      </w:r>
      <w:proofErr w:type="spellEnd"/>
      <w:r>
        <w:rPr>
          <w:rFonts w:eastAsia="MS Mincho"/>
        </w:rPr>
        <w:t xml:space="preserve"> (198 bis 165 v. Chr.) und berichtet von der syrischen Unte</w:t>
      </w:r>
      <w:r>
        <w:rPr>
          <w:rFonts w:eastAsia="MS Mincho"/>
        </w:rPr>
        <w:t>r</w:t>
      </w:r>
      <w:r>
        <w:rPr>
          <w:rFonts w:eastAsia="MS Mincho"/>
        </w:rPr>
        <w:t xml:space="preserve">drückung Israels und dem Aufstand der Makkabäer. Das erste </w:t>
      </w:r>
      <w:proofErr w:type="spellStart"/>
      <w:r>
        <w:rPr>
          <w:rFonts w:eastAsia="MS Mincho"/>
        </w:rPr>
        <w:t>Makkabäerbuch</w:t>
      </w:r>
      <w:proofErr w:type="spellEnd"/>
      <w:r>
        <w:rPr>
          <w:rFonts w:eastAsia="MS Mincho"/>
        </w:rPr>
        <w:t xml:space="preserve"> ist hist</w:t>
      </w:r>
      <w:r>
        <w:rPr>
          <w:rFonts w:eastAsia="MS Mincho"/>
        </w:rPr>
        <w:t>o</w:t>
      </w:r>
      <w:r>
        <w:rPr>
          <w:rFonts w:eastAsia="MS Mincho"/>
        </w:rPr>
        <w:t xml:space="preserve">risch gesehen ziemlich zuverlässig und hebt die Verdienste des Geschlechts der Makkabäer lobend hervor, während das zweite </w:t>
      </w:r>
      <w:proofErr w:type="spellStart"/>
      <w:r>
        <w:rPr>
          <w:rFonts w:eastAsia="MS Mincho"/>
        </w:rPr>
        <w:t>Makkabäerbuch</w:t>
      </w:r>
      <w:proofErr w:type="spellEnd"/>
      <w:r>
        <w:rPr>
          <w:rFonts w:eastAsia="MS Mincho"/>
        </w:rPr>
        <w:t xml:space="preserve"> </w:t>
      </w:r>
      <w:proofErr w:type="spellStart"/>
      <w:proofErr w:type="gramStart"/>
      <w:r>
        <w:rPr>
          <w:rFonts w:eastAsia="MS Mincho"/>
        </w:rPr>
        <w:t>die selben</w:t>
      </w:r>
      <w:proofErr w:type="spellEnd"/>
      <w:proofErr w:type="gramEnd"/>
      <w:r>
        <w:rPr>
          <w:rFonts w:eastAsia="MS Mincho"/>
        </w:rPr>
        <w:t xml:space="preserve"> Ereignisse vom Standpunkt der Pharisäer aus und dogmatisch betrachtet und keinen so großen Wert auf historische Genauigkeit legt.</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Legendäre Erzählungen</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Hierunter fallen die Bücher </w:t>
      </w:r>
      <w:proofErr w:type="spellStart"/>
      <w:r>
        <w:rPr>
          <w:rFonts w:eastAsia="MS Mincho"/>
        </w:rPr>
        <w:t>Tobit</w:t>
      </w:r>
      <w:proofErr w:type="spellEnd"/>
      <w:r>
        <w:rPr>
          <w:rFonts w:eastAsia="MS Mincho"/>
        </w:rPr>
        <w:t xml:space="preserve"> (auch Tobias genannt), Judith, die Zusätze zum Buch Esther und die Zusätze zum Propheten Daniel (Susanna, Vom Bel und Vom Drachen zu Babel - in katholischen Bibelausgaben Kapitel 13 und 14 im Propheten Daniel) und die liturgischen Texte Der Gesang der drei Männer im Feuerofen (dieser steht in Bibelausg</w:t>
      </w:r>
      <w:r>
        <w:rPr>
          <w:rFonts w:eastAsia="MS Mincho"/>
        </w:rPr>
        <w:t>a</w:t>
      </w:r>
      <w:r>
        <w:rPr>
          <w:rFonts w:eastAsia="MS Mincho"/>
        </w:rPr>
        <w:t xml:space="preserve">ben der katholischen Kirche zwischen den Versen 23 und 24 in Daniel 3) und Das Gebet </w:t>
      </w:r>
      <w:proofErr w:type="spellStart"/>
      <w:r>
        <w:rPr>
          <w:rFonts w:eastAsia="MS Mincho"/>
        </w:rPr>
        <w:t>Asarjas</w:t>
      </w:r>
      <w:proofErr w:type="spellEnd"/>
      <w:r>
        <w:rPr>
          <w:rFonts w:eastAsia="MS Mincho"/>
        </w:rPr>
        <w:t>.</w:t>
      </w:r>
    </w:p>
    <w:p w:rsidR="00D843E1" w:rsidRDefault="00FA6317">
      <w:pPr>
        <w:pStyle w:val="Text1Zeileeingerckt"/>
        <w:spacing w:line="240" w:lineRule="auto"/>
        <w:rPr>
          <w:rFonts w:eastAsia="MS Mincho"/>
        </w:rPr>
      </w:pPr>
      <w:r>
        <w:rPr>
          <w:rFonts w:eastAsia="MS Mincho"/>
        </w:rPr>
        <w:t xml:space="preserve">Das Buch </w:t>
      </w:r>
      <w:proofErr w:type="spellStart"/>
      <w:r>
        <w:rPr>
          <w:rFonts w:eastAsia="MS Mincho"/>
        </w:rPr>
        <w:t>Tobit</w:t>
      </w:r>
      <w:proofErr w:type="spellEnd"/>
      <w:r>
        <w:rPr>
          <w:rFonts w:eastAsia="MS Mincho"/>
        </w:rPr>
        <w:t xml:space="preserve"> (oder Tobias) ist offensichtlich kein historischer Bericht. Es stammt aus der Zeit um 150 v. Chr. und berichtet, wie Tobias von seiner Blindheit geheilt wird und wie sein Sohn aus Todesgefahr errettet wird. Das Buch war in der frühen Christenheit so beliebt, dass es aus dem Hebräischen ins Griechische, Lateinische, Armenische, Syrische und Äthiopische übersetzt wurde. Ein Vers aus </w:t>
      </w:r>
      <w:proofErr w:type="spellStart"/>
      <w:r>
        <w:rPr>
          <w:rFonts w:eastAsia="MS Mincho"/>
        </w:rPr>
        <w:t>Tobit</w:t>
      </w:r>
      <w:proofErr w:type="spellEnd"/>
      <w:r>
        <w:rPr>
          <w:rFonts w:eastAsia="MS Mincho"/>
        </w:rPr>
        <w:t xml:space="preserve"> ging als Sprichwort in die deutsche Sprache ein. Als Tobias am Tigris saß und seine Füße waschen wollte, soll ein großer Fisch aus dem Wasser „gefahren“ sein, der ihn verschlingen wollte. Völlig erschrocken soll Tobias </w:t>
      </w:r>
      <w:proofErr w:type="spellStart"/>
      <w:r>
        <w:rPr>
          <w:rFonts w:eastAsia="MS Mincho"/>
        </w:rPr>
        <w:t>geschrieen</w:t>
      </w:r>
      <w:proofErr w:type="spellEnd"/>
      <w:r>
        <w:rPr>
          <w:rFonts w:eastAsia="MS Mincho"/>
        </w:rPr>
        <w:t xml:space="preserve"> haben: </w:t>
      </w:r>
      <w:r>
        <w:rPr>
          <w:rStyle w:val="KursivimFlietext"/>
          <w:rFonts w:eastAsia="MS Mincho"/>
        </w:rPr>
        <w:t>„O Herr, er will mich fressen“</w:t>
      </w:r>
      <w:r>
        <w:rPr>
          <w:rFonts w:eastAsia="MS Mincho"/>
        </w:rPr>
        <w:t xml:space="preserve"> (vgl. </w:t>
      </w:r>
      <w:proofErr w:type="spellStart"/>
      <w:r w:rsidR="0025129A">
        <w:rPr>
          <w:rFonts w:eastAsia="MS Mincho"/>
        </w:rPr>
        <w:t>Tobit</w:t>
      </w:r>
      <w:proofErr w:type="spellEnd"/>
      <w:r w:rsidR="0025129A">
        <w:rPr>
          <w:rFonts w:eastAsia="MS Mincho"/>
        </w:rPr>
        <w:t xml:space="preserve"> </w:t>
      </w:r>
      <w:r>
        <w:rPr>
          <w:rFonts w:eastAsia="MS Mincho"/>
        </w:rPr>
        <w:t>6</w:t>
      </w:r>
      <w:r w:rsidR="0025129A">
        <w:rPr>
          <w:rFonts w:eastAsia="MS Mincho"/>
        </w:rPr>
        <w:t>, 1</w:t>
      </w:r>
      <w:r>
        <w:rPr>
          <w:rFonts w:eastAsia="MS Mincho"/>
        </w:rPr>
        <w:t>-3 Luthertext). U</w:t>
      </w:r>
      <w:r>
        <w:rPr>
          <w:rFonts w:eastAsia="MS Mincho"/>
        </w:rPr>
        <w:t>n</w:t>
      </w:r>
      <w:r>
        <w:rPr>
          <w:rFonts w:eastAsia="MS Mincho"/>
        </w:rPr>
        <w:t>ter jungen Leuten, die vor der Wahl des Ehepartners stehen, ist besonders die Stelle Tobias 6</w:t>
      </w:r>
      <w:r w:rsidR="0025129A">
        <w:rPr>
          <w:rFonts w:eastAsia="MS Mincho"/>
        </w:rPr>
        <w:t>, 1</w:t>
      </w:r>
      <w:r>
        <w:rPr>
          <w:rFonts w:eastAsia="MS Mincho"/>
        </w:rPr>
        <w:t xml:space="preserve">8 bekannt: </w:t>
      </w:r>
      <w:r>
        <w:rPr>
          <w:rStyle w:val="KursivimFlietext"/>
          <w:rFonts w:eastAsia="MS Mincho"/>
        </w:rPr>
        <w:t>„Dir war sie bestimmt von Ewigkeit.“</w:t>
      </w:r>
      <w:r>
        <w:rPr>
          <w:rFonts w:eastAsia="MS Mincho"/>
        </w:rPr>
        <w:t xml:space="preserve"> Die Tatsache, dass es sich bei diesem Buch in gewisser Hinsicht um eine Liebesgeschichte handelt, erklärt vielleicht se</w:t>
      </w:r>
      <w:r>
        <w:rPr>
          <w:rFonts w:eastAsia="MS Mincho"/>
        </w:rPr>
        <w:t>i</w:t>
      </w:r>
      <w:r>
        <w:rPr>
          <w:rFonts w:eastAsia="MS Mincho"/>
        </w:rPr>
        <w:t>ne Beliebtheit in der Frühzeit der christlichen Kirche.</w:t>
      </w:r>
    </w:p>
    <w:p w:rsidR="00D843E1" w:rsidRDefault="00FA6317">
      <w:pPr>
        <w:pStyle w:val="Text1Zeileeingerckt"/>
        <w:spacing w:line="240" w:lineRule="auto"/>
        <w:rPr>
          <w:rFonts w:eastAsia="MS Mincho"/>
        </w:rPr>
      </w:pPr>
      <w:r>
        <w:rPr>
          <w:rFonts w:eastAsia="MS Mincho"/>
        </w:rPr>
        <w:t xml:space="preserve">Das Buch Judith berichtet von einer jüdischen Witwe aus dem zweiten Jahrhundert vor Christus, die den assyrischen Feldherrn </w:t>
      </w:r>
      <w:proofErr w:type="spellStart"/>
      <w:r>
        <w:rPr>
          <w:rFonts w:eastAsia="MS Mincho"/>
        </w:rPr>
        <w:t>Holofernes</w:t>
      </w:r>
      <w:proofErr w:type="spellEnd"/>
      <w:r>
        <w:rPr>
          <w:rFonts w:eastAsia="MS Mincho"/>
        </w:rPr>
        <w:t xml:space="preserve"> verführte und anschließend tötete, und die Stücke zu Daniel sind zum Teil Legenden über den weisen und gottesfürchtigen Daniel.</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Weisheitsliteratur</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Zur Weisheitsliteratur zählen die Bücher Jesus </w:t>
      </w:r>
      <w:proofErr w:type="spellStart"/>
      <w:r>
        <w:rPr>
          <w:rFonts w:eastAsia="MS Mincho"/>
        </w:rPr>
        <w:t>Sirach</w:t>
      </w:r>
      <w:proofErr w:type="spellEnd"/>
      <w:r>
        <w:rPr>
          <w:rFonts w:eastAsia="MS Mincho"/>
        </w:rPr>
        <w:t xml:space="preserve">, Weisheit Salomos, Baruch und das Gebet </w:t>
      </w:r>
      <w:proofErr w:type="spellStart"/>
      <w:r>
        <w:rPr>
          <w:rFonts w:eastAsia="MS Mincho"/>
        </w:rPr>
        <w:t>Manasses</w:t>
      </w:r>
      <w:proofErr w:type="spellEnd"/>
      <w:r>
        <w:rPr>
          <w:rFonts w:eastAsia="MS Mincho"/>
        </w:rPr>
        <w:t>.</w:t>
      </w:r>
    </w:p>
    <w:p w:rsidR="00D843E1" w:rsidRDefault="00FA6317">
      <w:pPr>
        <w:pStyle w:val="Text1Zeileeingerckt"/>
        <w:spacing w:line="240" w:lineRule="auto"/>
        <w:rPr>
          <w:rFonts w:eastAsia="MS Mincho"/>
        </w:rPr>
      </w:pPr>
      <w:r>
        <w:rPr>
          <w:rFonts w:eastAsia="MS Mincho"/>
        </w:rPr>
        <w:t xml:space="preserve">Jesus </w:t>
      </w:r>
      <w:proofErr w:type="spellStart"/>
      <w:r>
        <w:rPr>
          <w:rFonts w:eastAsia="MS Mincho"/>
        </w:rPr>
        <w:t>Sirach</w:t>
      </w:r>
      <w:proofErr w:type="spellEnd"/>
      <w:r>
        <w:rPr>
          <w:rFonts w:eastAsia="MS Mincho"/>
        </w:rPr>
        <w:t xml:space="preserve"> entstand um 180 v. Chr. und ähnelt in seinem Aufbau den Sprüchen S</w:t>
      </w:r>
      <w:r>
        <w:rPr>
          <w:rFonts w:eastAsia="MS Mincho"/>
        </w:rPr>
        <w:t>a</w:t>
      </w:r>
      <w:r>
        <w:rPr>
          <w:rFonts w:eastAsia="MS Mincho"/>
        </w:rPr>
        <w:t>lomos. Die vielen Ratschläge, die darin enthalten sind, sollen zur Führung eines gotte</w:t>
      </w:r>
      <w:r>
        <w:rPr>
          <w:rFonts w:eastAsia="MS Mincho"/>
        </w:rPr>
        <w:t>s</w:t>
      </w:r>
      <w:r>
        <w:rPr>
          <w:rFonts w:eastAsia="MS Mincho"/>
        </w:rPr>
        <w:t xml:space="preserve">fürchtigen Lebens anleiten, z. B.: </w:t>
      </w:r>
      <w:r>
        <w:rPr>
          <w:rStyle w:val="KursivimFlietext"/>
          <w:rFonts w:eastAsia="MS Mincho"/>
        </w:rPr>
        <w:t>„Siehe, dass deine Gottesfurcht nicht Heuchelei sei, und diene ihm nicht mit falschem Herzen“</w:t>
      </w:r>
      <w:r>
        <w:rPr>
          <w:rFonts w:eastAsia="MS Mincho"/>
        </w:rPr>
        <w:t xml:space="preserve"> (</w:t>
      </w:r>
      <w:proofErr w:type="spellStart"/>
      <w:r w:rsidR="0025129A">
        <w:rPr>
          <w:rFonts w:eastAsia="MS Mincho"/>
        </w:rPr>
        <w:t>Sirach</w:t>
      </w:r>
      <w:proofErr w:type="spellEnd"/>
      <w:r w:rsidR="0025129A">
        <w:rPr>
          <w:rFonts w:eastAsia="MS Mincho"/>
        </w:rPr>
        <w:t xml:space="preserve"> </w:t>
      </w:r>
      <w:r>
        <w:rPr>
          <w:rFonts w:eastAsia="MS Mincho"/>
        </w:rPr>
        <w:t>1</w:t>
      </w:r>
      <w:r w:rsidR="0025129A">
        <w:rPr>
          <w:rFonts w:eastAsia="MS Mincho"/>
        </w:rPr>
        <w:t>, 3</w:t>
      </w:r>
      <w:r>
        <w:rPr>
          <w:rFonts w:eastAsia="MS Mincho"/>
        </w:rPr>
        <w:t xml:space="preserve">4 Luthertext), </w:t>
      </w:r>
      <w:r>
        <w:rPr>
          <w:rStyle w:val="KursivimFlietext"/>
          <w:rFonts w:eastAsia="MS Mincho"/>
        </w:rPr>
        <w:t>„siehe zu, dass du einen guten Namen behaltest; der bleibt dir gewisser denn tausend große Schätze Goldes“</w:t>
      </w:r>
      <w:r>
        <w:rPr>
          <w:rFonts w:eastAsia="MS Mincho"/>
        </w:rPr>
        <w:t xml:space="preserve"> (</w:t>
      </w:r>
      <w:proofErr w:type="spellStart"/>
      <w:r>
        <w:rPr>
          <w:rFonts w:eastAsia="MS Mincho"/>
        </w:rPr>
        <w:t>Sir</w:t>
      </w:r>
      <w:r w:rsidR="0025129A">
        <w:rPr>
          <w:rFonts w:eastAsia="MS Mincho"/>
        </w:rPr>
        <w:t>ach</w:t>
      </w:r>
      <w:proofErr w:type="spellEnd"/>
      <w:r>
        <w:rPr>
          <w:rFonts w:eastAsia="MS Mincho"/>
        </w:rPr>
        <w:t xml:space="preserve"> 41</w:t>
      </w:r>
      <w:r w:rsidR="0025129A">
        <w:rPr>
          <w:rFonts w:eastAsia="MS Mincho"/>
        </w:rPr>
        <w:t>, 1</w:t>
      </w:r>
      <w:r>
        <w:rPr>
          <w:rFonts w:eastAsia="MS Mincho"/>
        </w:rPr>
        <w:t xml:space="preserve">5 </w:t>
      </w:r>
      <w:r>
        <w:rPr>
          <w:rFonts w:eastAsia="MS Mincho"/>
        </w:rPr>
        <w:lastRenderedPageBreak/>
        <w:t xml:space="preserve">Luthertext), </w:t>
      </w:r>
      <w:r>
        <w:rPr>
          <w:rStyle w:val="KursivimFlietext"/>
          <w:rFonts w:eastAsia="MS Mincho"/>
        </w:rPr>
        <w:t xml:space="preserve">„drei schöne Dinge sind, die Gott und den Menschen </w:t>
      </w:r>
      <w:proofErr w:type="spellStart"/>
      <w:r>
        <w:rPr>
          <w:rStyle w:val="KursivimFlietext"/>
          <w:rFonts w:eastAsia="MS Mincho"/>
        </w:rPr>
        <w:t>wohlgefa</w:t>
      </w:r>
      <w:r>
        <w:rPr>
          <w:rStyle w:val="KursivimFlietext"/>
          <w:rFonts w:eastAsia="MS Mincho"/>
        </w:rPr>
        <w:t>l</w:t>
      </w:r>
      <w:r>
        <w:rPr>
          <w:rStyle w:val="KursivimFlietext"/>
          <w:rFonts w:eastAsia="MS Mincho"/>
        </w:rPr>
        <w:t>len</w:t>
      </w:r>
      <w:proofErr w:type="spellEnd"/>
      <w:r>
        <w:rPr>
          <w:rStyle w:val="KursivimFlietext"/>
          <w:rFonts w:eastAsia="MS Mincho"/>
        </w:rPr>
        <w:t>: wenn Brüder eins sind und die Nachbarn sich lieb haben und Mann und Weib mite</w:t>
      </w:r>
      <w:r>
        <w:rPr>
          <w:rStyle w:val="KursivimFlietext"/>
          <w:rFonts w:eastAsia="MS Mincho"/>
        </w:rPr>
        <w:t>i</w:t>
      </w:r>
      <w:r>
        <w:rPr>
          <w:rStyle w:val="KursivimFlietext"/>
          <w:rFonts w:eastAsia="MS Mincho"/>
        </w:rPr>
        <w:t>nander wohl umgehen“</w:t>
      </w:r>
      <w:r>
        <w:rPr>
          <w:rFonts w:eastAsia="MS Mincho"/>
        </w:rPr>
        <w:t xml:space="preserve"> (</w:t>
      </w:r>
      <w:proofErr w:type="spellStart"/>
      <w:r w:rsidR="0025129A">
        <w:rPr>
          <w:rFonts w:eastAsia="MS Mincho"/>
        </w:rPr>
        <w:t>Sirach</w:t>
      </w:r>
      <w:proofErr w:type="spellEnd"/>
      <w:r w:rsidR="0025129A">
        <w:rPr>
          <w:rFonts w:eastAsia="MS Mincho"/>
        </w:rPr>
        <w:t xml:space="preserve"> </w:t>
      </w:r>
      <w:r>
        <w:rPr>
          <w:rFonts w:eastAsia="MS Mincho"/>
        </w:rPr>
        <w:t>25</w:t>
      </w:r>
      <w:r w:rsidR="0025129A">
        <w:rPr>
          <w:rFonts w:eastAsia="MS Mincho"/>
        </w:rPr>
        <w:t>, 1</w:t>
      </w:r>
      <w:r>
        <w:rPr>
          <w:rFonts w:eastAsia="MS Mincho"/>
        </w:rPr>
        <w:t>-2).</w:t>
      </w:r>
    </w:p>
    <w:p w:rsidR="00D843E1" w:rsidRDefault="00FA6317">
      <w:pPr>
        <w:pStyle w:val="Text1Zeileeingerckt"/>
        <w:spacing w:line="240" w:lineRule="auto"/>
        <w:rPr>
          <w:rFonts w:eastAsia="MS Mincho"/>
        </w:rPr>
      </w:pPr>
      <w:r>
        <w:rPr>
          <w:rFonts w:eastAsia="MS Mincho"/>
        </w:rPr>
        <w:t>Die Weisheit Salomos entstand im ersten Jahrhundert vor Christus, wurde also nicht von Salomo geschrieben. Sie zählt zu den sogenannten Pseudepigraphen (= falsche Schri</w:t>
      </w:r>
      <w:r>
        <w:rPr>
          <w:rFonts w:eastAsia="MS Mincho"/>
        </w:rPr>
        <w:t>f</w:t>
      </w:r>
      <w:r>
        <w:rPr>
          <w:rFonts w:eastAsia="MS Mincho"/>
        </w:rPr>
        <w:t>ten, d. h. nicht von den angegebenen Verfassern), die in der damaligen Zeit häufig waren und verarbeitet sehr viel mehr griechisches Gedankengut als alle anderen Bücher der jüd</w:t>
      </w:r>
      <w:r>
        <w:rPr>
          <w:rFonts w:eastAsia="MS Mincho"/>
        </w:rPr>
        <w:t>i</w:t>
      </w:r>
      <w:r>
        <w:rPr>
          <w:rFonts w:eastAsia="MS Mincho"/>
        </w:rPr>
        <w:t>schen Weisheitsliteratur.</w:t>
      </w:r>
    </w:p>
    <w:p w:rsidR="00D843E1" w:rsidRDefault="00FA6317">
      <w:pPr>
        <w:pStyle w:val="Text1Zeileeingerckt"/>
        <w:spacing w:line="240" w:lineRule="auto"/>
        <w:rPr>
          <w:rFonts w:eastAsia="MS Mincho"/>
        </w:rPr>
      </w:pPr>
      <w:r>
        <w:rPr>
          <w:rFonts w:eastAsia="MS Mincho"/>
        </w:rPr>
        <w:t xml:space="preserve">Das Buch Baruch enthält ein Bußgebet, ein Loblied und einige tröstende Lieder. </w:t>
      </w:r>
      <w:proofErr w:type="gramStart"/>
      <w:r>
        <w:rPr>
          <w:rFonts w:eastAsia="MS Mincho"/>
        </w:rPr>
        <w:t>Sein</w:t>
      </w:r>
      <w:proofErr w:type="gramEnd"/>
      <w:r>
        <w:rPr>
          <w:rFonts w:eastAsia="MS Mincho"/>
        </w:rPr>
        <w:t xml:space="preserve"> Anhang bildet der Brief Jeremias, der eine Warnung vor dem Götzendienst ist.</w:t>
      </w:r>
    </w:p>
    <w:p w:rsidR="00D843E1" w:rsidRDefault="00FA6317">
      <w:pPr>
        <w:pStyle w:val="Text1Zeileeingerckt"/>
        <w:spacing w:line="240" w:lineRule="auto"/>
        <w:rPr>
          <w:rFonts w:eastAsia="MS Mincho"/>
        </w:rPr>
      </w:pPr>
      <w:r>
        <w:rPr>
          <w:rFonts w:eastAsia="MS Mincho"/>
        </w:rPr>
        <w:t xml:space="preserve">Das Gebet </w:t>
      </w:r>
      <w:proofErr w:type="spellStart"/>
      <w:r>
        <w:rPr>
          <w:rFonts w:eastAsia="MS Mincho"/>
        </w:rPr>
        <w:t>Manasses</w:t>
      </w:r>
      <w:proofErr w:type="spellEnd"/>
      <w:r>
        <w:rPr>
          <w:rFonts w:eastAsia="MS Mincho"/>
        </w:rPr>
        <w:t xml:space="preserve"> ist eine Dichtung im Anschluss an </w:t>
      </w:r>
      <w:r>
        <w:rPr>
          <w:rFonts w:eastAsia="MS Mincho"/>
        </w:rPr>
        <w:softHyphen/>
        <w:t>2. Chronik 33</w:t>
      </w:r>
      <w:r w:rsidR="0025129A">
        <w:rPr>
          <w:rFonts w:eastAsia="MS Mincho"/>
        </w:rPr>
        <w:t>, 1</w:t>
      </w:r>
      <w:r>
        <w:rPr>
          <w:rFonts w:eastAsia="MS Mincho"/>
        </w:rPr>
        <w:t xml:space="preserve">3.19, wo es heißt: </w:t>
      </w:r>
      <w:r>
        <w:rPr>
          <w:rStyle w:val="KursivimFlietext"/>
          <w:rFonts w:eastAsia="MS Mincho"/>
        </w:rPr>
        <w:t xml:space="preserve">„Und als er bat, ließ sich der Herr erbitten und erhörte sein Flehen und brachte ihn wieder nach Jerusalem in sein Königreich. Da erkannte </w:t>
      </w:r>
      <w:proofErr w:type="spellStart"/>
      <w:r>
        <w:rPr>
          <w:rStyle w:val="KursivimFlietext"/>
          <w:rFonts w:eastAsia="MS Mincho"/>
        </w:rPr>
        <w:t>Manasse</w:t>
      </w:r>
      <w:proofErr w:type="spellEnd"/>
      <w:r>
        <w:rPr>
          <w:rStyle w:val="KursivimFlietext"/>
          <w:rFonts w:eastAsia="MS Mincho"/>
        </w:rPr>
        <w:t xml:space="preserve">, dass der Herr Gott ist. Und sein Gebet und wie der Herr ihn erhörte und alle seine Sünde und Missetat und die Stätten, wo er die Opferhöhen baute und die Bilder der </w:t>
      </w:r>
      <w:proofErr w:type="spellStart"/>
      <w:r>
        <w:rPr>
          <w:rStyle w:val="KursivimFlietext"/>
          <w:rFonts w:eastAsia="MS Mincho"/>
        </w:rPr>
        <w:t>Aschera</w:t>
      </w:r>
      <w:proofErr w:type="spellEnd"/>
      <w:r>
        <w:rPr>
          <w:rStyle w:val="KursivimFlietext"/>
          <w:rFonts w:eastAsia="MS Mincho"/>
        </w:rPr>
        <w:t xml:space="preserve"> und Götzenbilder au</w:t>
      </w:r>
      <w:r>
        <w:rPr>
          <w:rStyle w:val="KursivimFlietext"/>
          <w:rFonts w:eastAsia="MS Mincho"/>
        </w:rPr>
        <w:t>f</w:t>
      </w:r>
      <w:r>
        <w:rPr>
          <w:rStyle w:val="KursivimFlietext"/>
          <w:rFonts w:eastAsia="MS Mincho"/>
        </w:rPr>
        <w:t>stellte, ehe er sich demütigte, siehe, das steht geschrieben in den Geschichten der Seher.“</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Apokalyptische Schriften</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„Nur eine solche Schrift gehört mit zu den Apokryphen: das 2. (bzw. 4.) </w:t>
      </w:r>
      <w:proofErr w:type="spellStart"/>
      <w:r>
        <w:rPr>
          <w:rFonts w:eastAsia="MS Mincho"/>
        </w:rPr>
        <w:t>Esrabuch</w:t>
      </w:r>
      <w:proofErr w:type="spellEnd"/>
      <w:r>
        <w:rPr>
          <w:rFonts w:eastAsia="MS Mincho"/>
        </w:rPr>
        <w:t>, das wahrscheinlich im ersten Jahrhundert n. Chr. verfasst wurde. Es enthält einige christliche Kapitel, die die Ablehnung der Juden zugunsten der Kirche ‚vorhersagen’, und einen jüd</w:t>
      </w:r>
      <w:r>
        <w:rPr>
          <w:rFonts w:eastAsia="MS Mincho"/>
        </w:rPr>
        <w:t>i</w:t>
      </w:r>
      <w:r>
        <w:rPr>
          <w:rFonts w:eastAsia="MS Mincho"/>
        </w:rPr>
        <w:t>schen Teil, der einige Zukunftsvisionen enthält, die Esra zugeschrieben werden“ (</w:t>
      </w:r>
      <w:r>
        <w:rPr>
          <w:rStyle w:val="KursivimFlietext"/>
          <w:rFonts w:eastAsia="MS Mincho"/>
        </w:rPr>
        <w:t>Han</w:t>
      </w:r>
      <w:r>
        <w:rPr>
          <w:rStyle w:val="KursivimFlietext"/>
          <w:rFonts w:eastAsia="MS Mincho"/>
        </w:rPr>
        <w:t>d</w:t>
      </w:r>
      <w:r>
        <w:rPr>
          <w:rStyle w:val="KursivimFlietext"/>
          <w:rFonts w:eastAsia="MS Mincho"/>
        </w:rPr>
        <w:t>buch zur Bibel</w:t>
      </w:r>
      <w:r>
        <w:rPr>
          <w:rFonts w:eastAsia="MS Mincho"/>
        </w:rPr>
        <w:t xml:space="preserve">, op. </w:t>
      </w:r>
      <w:proofErr w:type="spellStart"/>
      <w:proofErr w:type="gramStart"/>
      <w:r>
        <w:rPr>
          <w:rFonts w:eastAsia="MS Mincho"/>
        </w:rPr>
        <w:t>cit</w:t>
      </w:r>
      <w:proofErr w:type="spellEnd"/>
      <w:r>
        <w:rPr>
          <w:rFonts w:eastAsia="MS Mincho"/>
        </w:rPr>
        <w:t>.,</w:t>
      </w:r>
      <w:proofErr w:type="gramEnd"/>
      <w:r>
        <w:rPr>
          <w:rFonts w:eastAsia="MS Mincho"/>
        </w:rPr>
        <w:t xml:space="preserve"> S.463).</w:t>
      </w:r>
    </w:p>
    <w:p w:rsidR="00D843E1" w:rsidRDefault="00FA6317">
      <w:pPr>
        <w:pStyle w:val="Text1Zeileeingerckt"/>
        <w:spacing w:line="240" w:lineRule="auto"/>
        <w:rPr>
          <w:rFonts w:eastAsia="MS Mincho"/>
        </w:rPr>
      </w:pPr>
      <w:r>
        <w:rPr>
          <w:rFonts w:eastAsia="MS Mincho"/>
        </w:rPr>
        <w:t>Nach diesem kurzen Abriss zum Inhalt der Apokryphen wollen wir uns der Bedeutung dieser Bücher zuwenden und uns zuerst die Frage stellen, ob sie in ihrer Gesamtheit insp</w:t>
      </w:r>
      <w:r>
        <w:rPr>
          <w:rFonts w:eastAsia="MS Mincho"/>
        </w:rPr>
        <w:t>i</w:t>
      </w:r>
      <w:r>
        <w:rPr>
          <w:rFonts w:eastAsia="MS Mincho"/>
        </w:rPr>
        <w:t>riertes Gotteswort sind. Die Frage nach ihrer Inspiration hat im Laufe der Geschichte der christlichen Kirche die Gemüter immer wieder bewegt. Auch heute herrscht keineswegs Einheit über diese Frage in den verschiedenen christlichen Benennungen. Dass das Alte Testament von Gottes Geist eingegeben ist, darüber herrscht in allen Kirchen Einmüti</w:t>
      </w:r>
      <w:r>
        <w:rPr>
          <w:rFonts w:eastAsia="MS Mincho"/>
        </w:rPr>
        <w:t>g</w:t>
      </w:r>
      <w:r>
        <w:rPr>
          <w:rFonts w:eastAsia="MS Mincho"/>
        </w:rPr>
        <w:t>keit; nur, wo sind die Grenzen des alttestamentlichen Kanons?</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Die lutherische Auffassung</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Martin Luther sagt von den Apokryphen: „Das sind Bücher, so der Heiligen Schrift nicht gleich gehalten, und doch nützlich und gut zu lesen sind.“ Er macht also einen U</w:t>
      </w:r>
      <w:r>
        <w:rPr>
          <w:rFonts w:eastAsia="MS Mincho"/>
        </w:rPr>
        <w:t>n</w:t>
      </w:r>
      <w:r>
        <w:rPr>
          <w:rFonts w:eastAsia="MS Mincho"/>
        </w:rPr>
        <w:t>terschied zwischen den Apokryphen und dem alttestamentlichen Kanon. Dieser Unte</w:t>
      </w:r>
      <w:r>
        <w:rPr>
          <w:rFonts w:eastAsia="MS Mincho"/>
        </w:rPr>
        <w:t>r</w:t>
      </w:r>
      <w:r>
        <w:rPr>
          <w:rFonts w:eastAsia="MS Mincho"/>
        </w:rPr>
        <w:t>schied schlägt sich darin nieder, dass die Apokryphen in den Lutherbibeln als gesonderter Block nach dem Alten Testament, falls sie überhaupt abgedruckt werden, zu finden sind.</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Die reformierte Auffassung</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In den reformierten Kirchen werden die Apokryphen noch strenger vom Kanon der Schrift abgesondert und als ganz gewöhnliche, von Menschen verfasste Schriften, anges</w:t>
      </w:r>
      <w:r>
        <w:rPr>
          <w:rFonts w:eastAsia="MS Mincho"/>
        </w:rPr>
        <w:t>e</w:t>
      </w:r>
      <w:r>
        <w:rPr>
          <w:rFonts w:eastAsia="MS Mincho"/>
        </w:rPr>
        <w:t>hen. Deshalb erscheinen sie auch nicht in Bibelausgaben, die für ein reformiertes Umfeld herausgegeben werden.</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Die frühkirchliche, katholische und evangelikale Auffassung</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Für uns Gläubige heute bleibt die Frage im Raum stehen: „Wie sollen wir die Apokr</w:t>
      </w:r>
      <w:r>
        <w:rPr>
          <w:rFonts w:eastAsia="MS Mincho"/>
        </w:rPr>
        <w:t>y</w:t>
      </w:r>
      <w:r>
        <w:rPr>
          <w:rFonts w:eastAsia="MS Mincho"/>
        </w:rPr>
        <w:t xml:space="preserve">phen ansehen?“ Ein Blick in die Kirchengeschichte wirft Licht auf diese Frage. Nicht nur haben die reformatorischen Kirchen die Apokryphen als inspiriert und damit Teil des </w:t>
      </w:r>
      <w:r>
        <w:rPr>
          <w:rFonts w:eastAsia="MS Mincho"/>
        </w:rPr>
        <w:lastRenderedPageBreak/>
        <w:t>Wortes Gottes abgelehnt, auch die frühe Kirche und die katholische Kirche bis ins Mitte</w:t>
      </w:r>
      <w:r>
        <w:rPr>
          <w:rFonts w:eastAsia="MS Mincho"/>
        </w:rPr>
        <w:t>l</w:t>
      </w:r>
      <w:r>
        <w:rPr>
          <w:rFonts w:eastAsia="MS Mincho"/>
        </w:rPr>
        <w:t>alter hinein hat dies getan oder sie doch wenigstens gesondert behandelt. Der Kirchenv</w:t>
      </w:r>
      <w:r>
        <w:rPr>
          <w:rFonts w:eastAsia="MS Mincho"/>
        </w:rPr>
        <w:t>a</w:t>
      </w:r>
      <w:r>
        <w:rPr>
          <w:rFonts w:eastAsia="MS Mincho"/>
        </w:rPr>
        <w:t xml:space="preserve">ter Hieronymus (347 bis 420 n. Chr.) schreibt dazu: „Die Kirche heißt das Buch Tobias, Judith, Makkabäer, Baruch, Susanna, Weisheit, </w:t>
      </w:r>
      <w:proofErr w:type="spellStart"/>
      <w:r>
        <w:rPr>
          <w:rFonts w:eastAsia="MS Mincho"/>
        </w:rPr>
        <w:t>Sirach</w:t>
      </w:r>
      <w:proofErr w:type="spellEnd"/>
      <w:r>
        <w:rPr>
          <w:rFonts w:eastAsia="MS Mincho"/>
        </w:rPr>
        <w:t>, den Gesang der drei Jünglinge und die Fabeln vom Bel und vom Drachen; aber sie nimmt sie keineswegs in das Verzeichnis der kanonischen Bücher auf; sie liest sie bloß, um daraus eine Belehrung für das Leben und ein Beispiel für gute Sitten zu schöpfen, nicht aber, um daraus eine Glaubenslehre zu stiften“ (</w:t>
      </w:r>
      <w:proofErr w:type="spellStart"/>
      <w:r>
        <w:rPr>
          <w:rFonts w:eastAsia="MS Mincho"/>
        </w:rPr>
        <w:t>Prologo</w:t>
      </w:r>
      <w:proofErr w:type="spellEnd"/>
      <w:r>
        <w:rPr>
          <w:rFonts w:eastAsia="MS Mincho"/>
        </w:rPr>
        <w:t xml:space="preserve"> a Graziano).</w:t>
      </w:r>
    </w:p>
    <w:p w:rsidR="00D843E1" w:rsidRDefault="00FA6317">
      <w:pPr>
        <w:pStyle w:val="Text1Zeileeingerckt"/>
        <w:spacing w:line="240" w:lineRule="auto"/>
        <w:rPr>
          <w:rFonts w:eastAsia="MS Mincho"/>
        </w:rPr>
      </w:pPr>
      <w:r>
        <w:rPr>
          <w:rFonts w:eastAsia="MS Mincho"/>
        </w:rPr>
        <w:t>Erst am 3. April 1546, am Konzil von Trient, wurden die Apokryphen von der kathol</w:t>
      </w:r>
      <w:r>
        <w:rPr>
          <w:rFonts w:eastAsia="MS Mincho"/>
        </w:rPr>
        <w:t>i</w:t>
      </w:r>
      <w:r>
        <w:rPr>
          <w:rFonts w:eastAsia="MS Mincho"/>
        </w:rPr>
        <w:t>schen Kirche als inspiriert erklärt, was wohl teilweise eine Gegenreaktion auf die Reform</w:t>
      </w:r>
      <w:r>
        <w:rPr>
          <w:rFonts w:eastAsia="MS Mincho"/>
        </w:rPr>
        <w:t>a</w:t>
      </w:r>
      <w:r>
        <w:rPr>
          <w:rFonts w:eastAsia="MS Mincho"/>
        </w:rPr>
        <w:t xml:space="preserve">tion war. Schließlich fand man in den Apokryphen eine Rechtfertigung für gewisse Lehren, worauf im Folgenden noch eingegangen wird. „Es ist sonderbar“, schrieb der Mönch Paolo </w:t>
      </w:r>
      <w:proofErr w:type="spellStart"/>
      <w:r>
        <w:rPr>
          <w:rFonts w:eastAsia="MS Mincho"/>
        </w:rPr>
        <w:t>Sarpi</w:t>
      </w:r>
      <w:proofErr w:type="spellEnd"/>
      <w:r>
        <w:rPr>
          <w:rFonts w:eastAsia="MS Mincho"/>
        </w:rPr>
        <w:t>, „dass fünf Kardinäle und vierzig Bischöfe so leichthin über allerwichtigste und grundlegende Fragen, worüber bisher nie entschieden worden war, Beschluss fassten, i</w:t>
      </w:r>
      <w:r>
        <w:rPr>
          <w:rFonts w:eastAsia="MS Mincho"/>
        </w:rPr>
        <w:t>n</w:t>
      </w:r>
      <w:r>
        <w:rPr>
          <w:rFonts w:eastAsia="MS Mincho"/>
        </w:rPr>
        <w:t>dem sie Bücher als ‚</w:t>
      </w:r>
      <w:proofErr w:type="spellStart"/>
      <w:r>
        <w:rPr>
          <w:rFonts w:eastAsia="MS Mincho"/>
        </w:rPr>
        <w:t>inspieriert</w:t>
      </w:r>
      <w:proofErr w:type="spellEnd"/>
      <w:r>
        <w:rPr>
          <w:rFonts w:eastAsia="MS Mincho"/>
        </w:rPr>
        <w:t>’ erklärten, welche bis dahin als apokryph gegolten hatten“ (</w:t>
      </w:r>
      <w:proofErr w:type="spellStart"/>
      <w:r>
        <w:rPr>
          <w:rStyle w:val="KursivimFlietext"/>
          <w:rFonts w:eastAsia="MS Mincho"/>
        </w:rPr>
        <w:t>Storia</w:t>
      </w:r>
      <w:proofErr w:type="spellEnd"/>
      <w:r>
        <w:rPr>
          <w:rStyle w:val="KursivimFlietext"/>
          <w:rFonts w:eastAsia="MS Mincho"/>
        </w:rPr>
        <w:t xml:space="preserve"> del </w:t>
      </w:r>
      <w:proofErr w:type="spellStart"/>
      <w:r>
        <w:rPr>
          <w:rStyle w:val="KursivimFlietext"/>
          <w:rFonts w:eastAsia="MS Mincho"/>
        </w:rPr>
        <w:t>Concillio</w:t>
      </w:r>
      <w:proofErr w:type="spellEnd"/>
      <w:r>
        <w:rPr>
          <w:rStyle w:val="KursivimFlietext"/>
          <w:rFonts w:eastAsia="MS Mincho"/>
        </w:rPr>
        <w:t xml:space="preserve"> </w:t>
      </w:r>
      <w:proofErr w:type="spellStart"/>
      <w:r>
        <w:rPr>
          <w:rStyle w:val="KursivimFlietext"/>
          <w:rFonts w:eastAsia="MS Mincho"/>
        </w:rPr>
        <w:t>Tridentino</w:t>
      </w:r>
      <w:proofErr w:type="spellEnd"/>
      <w:r>
        <w:rPr>
          <w:rFonts w:eastAsia="MS Mincho"/>
        </w:rPr>
        <w:t xml:space="preserve"> 2:57). Wir sehen also, dass die Apokryphen von frühester Zeit an nie als kanonisch angesehen wurden, und es ist schon sonderbar, dass die Kathol</w:t>
      </w:r>
      <w:r>
        <w:rPr>
          <w:rFonts w:eastAsia="MS Mincho"/>
        </w:rPr>
        <w:t>i</w:t>
      </w:r>
      <w:r>
        <w:rPr>
          <w:rFonts w:eastAsia="MS Mincho"/>
        </w:rPr>
        <w:t>ken über 1000 Jahre lang nicht an die göttliche Eingebung dieser Bücher glauben mus</w:t>
      </w:r>
      <w:r>
        <w:rPr>
          <w:rFonts w:eastAsia="MS Mincho"/>
        </w:rPr>
        <w:t>s</w:t>
      </w:r>
      <w:r>
        <w:rPr>
          <w:rFonts w:eastAsia="MS Mincho"/>
        </w:rPr>
        <w:t>ten, dass sie dann aber plötzlich ab dem 3. April 1546 inspiriert sein sollen.</w:t>
      </w:r>
    </w:p>
    <w:p w:rsidR="00D843E1" w:rsidRDefault="00FA6317">
      <w:pPr>
        <w:pStyle w:val="Text1Zeileeingerckt"/>
        <w:spacing w:line="240" w:lineRule="auto"/>
        <w:rPr>
          <w:rFonts w:eastAsia="MS Mincho"/>
        </w:rPr>
      </w:pPr>
      <w:r>
        <w:rPr>
          <w:rFonts w:eastAsia="MS Mincho"/>
        </w:rPr>
        <w:t>Beim Lesen des Neuen Testaments stellen wir fest, dass nie weder Jesus noch die Apo</w:t>
      </w:r>
      <w:r>
        <w:rPr>
          <w:rFonts w:eastAsia="MS Mincho"/>
        </w:rPr>
        <w:t>s</w:t>
      </w:r>
      <w:r>
        <w:rPr>
          <w:rFonts w:eastAsia="MS Mincho"/>
        </w:rPr>
        <w:t xml:space="preserve">tel aus irgend einem Buch der Apokryphen auch nur eine Stelle zitieren, um den Neuen Bund zu begründen oder zu erklären, wiewohl alle anderen Bücher des Alten Testaments mit Ausnahme von Esther und dem </w:t>
      </w:r>
      <w:proofErr w:type="spellStart"/>
      <w:r>
        <w:rPr>
          <w:rFonts w:eastAsia="MS Mincho"/>
        </w:rPr>
        <w:t>Hohenlied</w:t>
      </w:r>
      <w:proofErr w:type="spellEnd"/>
      <w:r>
        <w:rPr>
          <w:rFonts w:eastAsia="MS Mincho"/>
        </w:rPr>
        <w:t xml:space="preserve"> zitiert werden. Allein aus diesen Gründen schon gehen wir nicht fehl, wenn wir dem Beispiel der frühen Kirche und den reformator</w:t>
      </w:r>
      <w:r>
        <w:rPr>
          <w:rFonts w:eastAsia="MS Mincho"/>
        </w:rPr>
        <w:t>i</w:t>
      </w:r>
      <w:r>
        <w:rPr>
          <w:rFonts w:eastAsia="MS Mincho"/>
        </w:rPr>
        <w:t xml:space="preserve">schen Kirchen folgen und die Apokryphen als nicht inspiriert ansehen. Darüber hinaus haben wir im Neuen Testament einen Hinweis darauf, dass sie nicht zur Heiligen Schrift gehören. Über den Kanon des Alten Testaments </w:t>
      </w:r>
      <w:proofErr w:type="gramStart"/>
      <w:r>
        <w:rPr>
          <w:rFonts w:eastAsia="MS Mincho"/>
        </w:rPr>
        <w:t>hat</w:t>
      </w:r>
      <w:proofErr w:type="gramEnd"/>
      <w:r>
        <w:rPr>
          <w:rFonts w:eastAsia="MS Mincho"/>
        </w:rPr>
        <w:t xml:space="preserve"> nämlich nicht die christliche Gemei</w:t>
      </w:r>
      <w:r>
        <w:rPr>
          <w:rFonts w:eastAsia="MS Mincho"/>
        </w:rPr>
        <w:t>n</w:t>
      </w:r>
      <w:r>
        <w:rPr>
          <w:rFonts w:eastAsia="MS Mincho"/>
        </w:rPr>
        <w:t>de zu entscheiden, sondern die Juden. Und die Juden haben die Apokryphen abgelehnt! Es heißt in Römer 3</w:t>
      </w:r>
      <w:r w:rsidR="0025129A">
        <w:rPr>
          <w:rFonts w:eastAsia="MS Mincho"/>
        </w:rPr>
        <w:t>, 1</w:t>
      </w:r>
      <w:r>
        <w:rPr>
          <w:rFonts w:eastAsia="MS Mincho"/>
        </w:rPr>
        <w:t xml:space="preserve">-2: </w:t>
      </w:r>
      <w:r>
        <w:rPr>
          <w:rStyle w:val="KursivimFlietext"/>
          <w:rFonts w:eastAsia="MS Mincho"/>
        </w:rPr>
        <w:t>„Was ist nun der Vorzug der Juden</w:t>
      </w:r>
      <w:proofErr w:type="gramStart"/>
      <w:r>
        <w:rPr>
          <w:rStyle w:val="KursivimFlietext"/>
          <w:rFonts w:eastAsia="MS Mincho"/>
        </w:rPr>
        <w:t>?...</w:t>
      </w:r>
      <w:proofErr w:type="gramEnd"/>
      <w:r>
        <w:rPr>
          <w:rStyle w:val="KursivimFlietext"/>
          <w:rFonts w:eastAsia="MS Mincho"/>
        </w:rPr>
        <w:t xml:space="preserve"> Ihnen sind die Worte Go</w:t>
      </w:r>
      <w:r>
        <w:rPr>
          <w:rStyle w:val="KursivimFlietext"/>
          <w:rFonts w:eastAsia="MS Mincho"/>
        </w:rPr>
        <w:t>t</w:t>
      </w:r>
      <w:r>
        <w:rPr>
          <w:rStyle w:val="KursivimFlietext"/>
          <w:rFonts w:eastAsia="MS Mincho"/>
        </w:rPr>
        <w:t>tes anvertraut!“</w:t>
      </w:r>
    </w:p>
    <w:p w:rsidR="00D843E1" w:rsidRDefault="00FA6317">
      <w:pPr>
        <w:pStyle w:val="Text1Zeileeingerckt"/>
        <w:spacing w:line="240" w:lineRule="auto"/>
        <w:rPr>
          <w:rFonts w:eastAsia="MS Mincho"/>
        </w:rPr>
      </w:pPr>
      <w:r>
        <w:rPr>
          <w:rFonts w:eastAsia="MS Mincho"/>
        </w:rPr>
        <w:t>Wenden wir uns nun der Frage zu, ob die Apokryphen im Einzelfall inspiriert sind. D</w:t>
      </w:r>
      <w:r>
        <w:rPr>
          <w:rFonts w:eastAsia="MS Mincho"/>
        </w:rPr>
        <w:t>a</w:t>
      </w:r>
      <w:r>
        <w:rPr>
          <w:rFonts w:eastAsia="MS Mincho"/>
        </w:rPr>
        <w:t>bei schauen wir uns einige Stellen an, die Widersprüche in sich selbst enthalten oder der Lehre der Bücher des biblischen Kanons widersprechen.</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 xml:space="preserve">Die Berichte vom Tod des syrischen Königs Antiochus </w:t>
      </w:r>
      <w:proofErr w:type="spellStart"/>
      <w:r>
        <w:rPr>
          <w:rStyle w:val="Fettdruck"/>
          <w:rFonts w:eastAsia="MS Mincho"/>
        </w:rPr>
        <w:t>Epiphanes</w:t>
      </w:r>
      <w:proofErr w:type="spellEnd"/>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Im 1. und 2. </w:t>
      </w:r>
      <w:proofErr w:type="spellStart"/>
      <w:r>
        <w:rPr>
          <w:rFonts w:eastAsia="MS Mincho"/>
        </w:rPr>
        <w:t>Makkabäerbuch</w:t>
      </w:r>
      <w:proofErr w:type="spellEnd"/>
      <w:r>
        <w:rPr>
          <w:rFonts w:eastAsia="MS Mincho"/>
        </w:rPr>
        <w:t xml:space="preserve"> wird der Tod des Königs Antiochus </w:t>
      </w:r>
      <w:proofErr w:type="spellStart"/>
      <w:r>
        <w:rPr>
          <w:rFonts w:eastAsia="MS Mincho"/>
        </w:rPr>
        <w:t>Epiphanes</w:t>
      </w:r>
      <w:proofErr w:type="spellEnd"/>
      <w:r>
        <w:rPr>
          <w:rFonts w:eastAsia="MS Mincho"/>
        </w:rPr>
        <w:t xml:space="preserve"> dreimal g</w:t>
      </w:r>
      <w:r>
        <w:rPr>
          <w:rFonts w:eastAsia="MS Mincho"/>
        </w:rPr>
        <w:t>e</w:t>
      </w:r>
      <w:r>
        <w:rPr>
          <w:rFonts w:eastAsia="MS Mincho"/>
        </w:rPr>
        <w:t>schildert. In der ersten Stelle, 1. Makkabäer 6</w:t>
      </w:r>
      <w:r w:rsidR="0025129A">
        <w:rPr>
          <w:rFonts w:eastAsia="MS Mincho"/>
        </w:rPr>
        <w:t>, 1</w:t>
      </w:r>
      <w:r>
        <w:rPr>
          <w:rFonts w:eastAsia="MS Mincho"/>
        </w:rPr>
        <w:t>0.13-16, wird berichtet, dass er vor Ku</w:t>
      </w:r>
      <w:r>
        <w:rPr>
          <w:rFonts w:eastAsia="MS Mincho"/>
        </w:rPr>
        <w:t>m</w:t>
      </w:r>
      <w:r>
        <w:rPr>
          <w:rFonts w:eastAsia="MS Mincho"/>
        </w:rPr>
        <w:t>mer und Herzeleid starb, in der zweiten Stelle, 2. Makkabäer 1</w:t>
      </w:r>
      <w:r w:rsidR="0025129A">
        <w:rPr>
          <w:rFonts w:eastAsia="MS Mincho"/>
        </w:rPr>
        <w:t>, 1</w:t>
      </w:r>
      <w:r>
        <w:rPr>
          <w:rFonts w:eastAsia="MS Mincho"/>
        </w:rPr>
        <w:t>5-16, wird er bei ve</w:t>
      </w:r>
      <w:r>
        <w:rPr>
          <w:rFonts w:eastAsia="MS Mincho"/>
        </w:rPr>
        <w:t>r</w:t>
      </w:r>
      <w:r>
        <w:rPr>
          <w:rFonts w:eastAsia="MS Mincho"/>
        </w:rPr>
        <w:t>schlossenen Türen von den Priestern im Tempel gesteinigt, anschließend in Stücke geha</w:t>
      </w:r>
      <w:r>
        <w:rPr>
          <w:rFonts w:eastAsia="MS Mincho"/>
        </w:rPr>
        <w:t>u</w:t>
      </w:r>
      <w:r>
        <w:rPr>
          <w:rFonts w:eastAsia="MS Mincho"/>
        </w:rPr>
        <w:t>en und aus dem Tempel hinausgeworfen. Den dritten Bericht seines Todes finden wir in 2. Ma</w:t>
      </w:r>
      <w:r>
        <w:rPr>
          <w:rFonts w:eastAsia="MS Mincho"/>
        </w:rPr>
        <w:t>k</w:t>
      </w:r>
      <w:r>
        <w:rPr>
          <w:rFonts w:eastAsia="MS Mincho"/>
        </w:rPr>
        <w:t>kabäer 9</w:t>
      </w:r>
      <w:r w:rsidR="0025129A">
        <w:rPr>
          <w:rFonts w:eastAsia="MS Mincho"/>
        </w:rPr>
        <w:t>, 5</w:t>
      </w:r>
      <w:r>
        <w:rPr>
          <w:rFonts w:eastAsia="MS Mincho"/>
        </w:rPr>
        <w:t xml:space="preserve">.28-29, wo er an einem Darmleiden </w:t>
      </w:r>
      <w:r>
        <w:rPr>
          <w:rStyle w:val="KursivimFlietext"/>
          <w:rFonts w:eastAsia="MS Mincho"/>
        </w:rPr>
        <w:t>„in einem fremden Land und in der Wildnis eines jämmerlichen Todes“</w:t>
      </w:r>
      <w:r>
        <w:rPr>
          <w:rFonts w:eastAsia="MS Mincho"/>
        </w:rPr>
        <w:t xml:space="preserve"> (V.28) starb.</w:t>
      </w:r>
    </w:p>
    <w:p w:rsidR="00D843E1" w:rsidRDefault="00FA6317">
      <w:pPr>
        <w:pStyle w:val="Text1Zeileeingerckt"/>
        <w:spacing w:line="240" w:lineRule="auto"/>
        <w:rPr>
          <w:rFonts w:eastAsia="MS Mincho"/>
        </w:rPr>
      </w:pPr>
      <w:r>
        <w:rPr>
          <w:rFonts w:eastAsia="MS Mincho"/>
        </w:rPr>
        <w:t>Schon der gesunde Menschenverstand lehrt uns, dass ein Mensch nur einmal und nur auf eine Art und Weise stirbt. Wie können dann aber Bücher von Gottes Geist inspiriert sein, die drei sich widersprechende Berichte ein und desselben Vorgangs enthalten?</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Das Almosengeben</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In Tobias 4</w:t>
      </w:r>
      <w:r w:rsidR="0025129A">
        <w:rPr>
          <w:rFonts w:eastAsia="MS Mincho"/>
        </w:rPr>
        <w:t>, 1</w:t>
      </w:r>
      <w:r>
        <w:rPr>
          <w:rFonts w:eastAsia="MS Mincho"/>
        </w:rPr>
        <w:t xml:space="preserve">0 bzw. 11 lesen wir: </w:t>
      </w:r>
      <w:r>
        <w:rPr>
          <w:rStyle w:val="KursivimFlietext"/>
          <w:rFonts w:eastAsia="MS Mincho"/>
        </w:rPr>
        <w:t>„Denn die Almosen erlösen von allen Sünden, auch vom Tod, und lassen nicht in der Not“</w:t>
      </w:r>
      <w:r>
        <w:rPr>
          <w:rFonts w:eastAsia="MS Mincho"/>
        </w:rPr>
        <w:t>, Tobias 12</w:t>
      </w:r>
      <w:r w:rsidR="0025129A">
        <w:rPr>
          <w:rFonts w:eastAsia="MS Mincho"/>
        </w:rPr>
        <w:t>, 9</w:t>
      </w:r>
      <w:r>
        <w:rPr>
          <w:rFonts w:eastAsia="MS Mincho"/>
        </w:rPr>
        <w:t xml:space="preserve">: </w:t>
      </w:r>
      <w:r>
        <w:rPr>
          <w:rStyle w:val="KursivimFlietext"/>
          <w:rFonts w:eastAsia="MS Mincho"/>
        </w:rPr>
        <w:t>„Die Almosen erlösen vom Tod, tilgen die Sünden, erhalten am Leben“</w:t>
      </w:r>
      <w:r>
        <w:rPr>
          <w:rFonts w:eastAsia="MS Mincho"/>
        </w:rPr>
        <w:t xml:space="preserve"> und </w:t>
      </w:r>
      <w:proofErr w:type="spellStart"/>
      <w:r>
        <w:rPr>
          <w:rFonts w:eastAsia="MS Mincho"/>
        </w:rPr>
        <w:t>Sirach</w:t>
      </w:r>
      <w:proofErr w:type="spellEnd"/>
      <w:r>
        <w:rPr>
          <w:rFonts w:eastAsia="MS Mincho"/>
        </w:rPr>
        <w:t xml:space="preserve"> 3</w:t>
      </w:r>
      <w:r w:rsidR="0025129A">
        <w:rPr>
          <w:rFonts w:eastAsia="MS Mincho"/>
        </w:rPr>
        <w:t>, 3</w:t>
      </w:r>
      <w:r>
        <w:rPr>
          <w:rFonts w:eastAsia="MS Mincho"/>
        </w:rPr>
        <w:t xml:space="preserve">0 bzw. 31: </w:t>
      </w:r>
      <w:r>
        <w:rPr>
          <w:rStyle w:val="KursivimFlietext"/>
          <w:rFonts w:eastAsia="MS Mincho"/>
        </w:rPr>
        <w:t>„Wie das Wasser ein brenne</w:t>
      </w:r>
      <w:r>
        <w:rPr>
          <w:rStyle w:val="KursivimFlietext"/>
          <w:rFonts w:eastAsia="MS Mincho"/>
        </w:rPr>
        <w:t>n</w:t>
      </w:r>
      <w:r>
        <w:rPr>
          <w:rStyle w:val="KursivimFlietext"/>
          <w:rFonts w:eastAsia="MS Mincho"/>
        </w:rPr>
        <w:lastRenderedPageBreak/>
        <w:t>des Feuer, also tilgt das Almosen die Sünden.“</w:t>
      </w:r>
      <w:r>
        <w:rPr>
          <w:rFonts w:eastAsia="MS Mincho"/>
        </w:rPr>
        <w:t xml:space="preserve"> Der Ablassprediger Tetzel in den Tagen Martin Luthers hatte wahrscheinlich mit diesen Versen eine theologische Begründung se</w:t>
      </w:r>
      <w:r>
        <w:rPr>
          <w:rFonts w:eastAsia="MS Mincho"/>
        </w:rPr>
        <w:t>i</w:t>
      </w:r>
      <w:r>
        <w:rPr>
          <w:rFonts w:eastAsia="MS Mincho"/>
        </w:rPr>
        <w:t>nes Seelenhandels in der Hand nach der Methode: „Wenn das Geld im Kasten klingt, die Seele aus dem Fegefeuer in den Himmel springt“.</w:t>
      </w:r>
    </w:p>
    <w:p w:rsidR="00D843E1" w:rsidRDefault="00FA6317">
      <w:pPr>
        <w:pStyle w:val="Text1Zeileeingerckt"/>
        <w:spacing w:line="240" w:lineRule="auto"/>
        <w:rPr>
          <w:rFonts w:eastAsia="MS Mincho"/>
        </w:rPr>
      </w:pPr>
      <w:r>
        <w:rPr>
          <w:rFonts w:eastAsia="MS Mincho"/>
        </w:rPr>
        <w:t xml:space="preserve">Ähnlich wie bei den Almosen lehren die Apokryphen, wenn man Vater und Mutter ehrt: </w:t>
      </w:r>
      <w:r>
        <w:rPr>
          <w:rStyle w:val="KursivimFlietext"/>
          <w:rFonts w:eastAsia="MS Mincho"/>
        </w:rPr>
        <w:t>„Wer den Vater ehrt, erlangt Verzeihung der Sünden. Denn die Liebe zum Vater wird nicht vergessen, sie wird als Sühne für deine Sünden eingetragen. Zur Zeit der B</w:t>
      </w:r>
      <w:r>
        <w:rPr>
          <w:rStyle w:val="KursivimFlietext"/>
          <w:rFonts w:eastAsia="MS Mincho"/>
        </w:rPr>
        <w:t>e</w:t>
      </w:r>
      <w:r>
        <w:rPr>
          <w:rStyle w:val="KursivimFlietext"/>
          <w:rFonts w:eastAsia="MS Mincho"/>
        </w:rPr>
        <w:t>drängnis wird sie dir vergolten werden; sie lässt deine Sünden schmelzen wie Wärme den Reif“</w:t>
      </w:r>
      <w:r>
        <w:rPr>
          <w:rFonts w:eastAsia="MS Mincho"/>
        </w:rPr>
        <w:t xml:space="preserve"> (</w:t>
      </w:r>
      <w:proofErr w:type="spellStart"/>
      <w:r w:rsidR="0025129A">
        <w:rPr>
          <w:rFonts w:eastAsia="MS Mincho"/>
        </w:rPr>
        <w:t>Sirach</w:t>
      </w:r>
      <w:proofErr w:type="spellEnd"/>
      <w:r w:rsidR="0025129A">
        <w:rPr>
          <w:rFonts w:eastAsia="MS Mincho"/>
        </w:rPr>
        <w:t xml:space="preserve"> </w:t>
      </w:r>
      <w:r>
        <w:rPr>
          <w:rFonts w:eastAsia="MS Mincho"/>
        </w:rPr>
        <w:t>3</w:t>
      </w:r>
      <w:r w:rsidR="0025129A">
        <w:rPr>
          <w:rFonts w:eastAsia="MS Mincho"/>
        </w:rPr>
        <w:t>, 3</w:t>
      </w:r>
      <w:r>
        <w:rPr>
          <w:rFonts w:eastAsia="MS Mincho"/>
        </w:rPr>
        <w:t>.14-15 Einheitsübersetzung).</w:t>
      </w:r>
    </w:p>
    <w:p w:rsidR="00D843E1" w:rsidRDefault="00FA6317">
      <w:pPr>
        <w:pStyle w:val="Text1Zeileeingerckt"/>
        <w:spacing w:line="240" w:lineRule="auto"/>
        <w:rPr>
          <w:rFonts w:eastAsia="MS Mincho"/>
        </w:rPr>
      </w:pPr>
      <w:r>
        <w:rPr>
          <w:rFonts w:eastAsia="MS Mincho"/>
        </w:rPr>
        <w:t xml:space="preserve">Wir haben hier einen offenen Widerspruch zu einer der Zentrallehren der Heiligen Schrift, nämlich dass </w:t>
      </w:r>
      <w:r>
        <w:rPr>
          <w:rStyle w:val="KursivimFlietext"/>
          <w:rFonts w:eastAsia="MS Mincho"/>
        </w:rPr>
        <w:t>„das Blut Jesu Christi, seines Sohnes, macht uns rein von aller Sü</w:t>
      </w:r>
      <w:r>
        <w:rPr>
          <w:rStyle w:val="KursivimFlietext"/>
          <w:rFonts w:eastAsia="MS Mincho"/>
        </w:rPr>
        <w:t>n</w:t>
      </w:r>
      <w:r>
        <w:rPr>
          <w:rStyle w:val="KursivimFlietext"/>
          <w:rFonts w:eastAsia="MS Mincho"/>
        </w:rPr>
        <w:t>de“</w:t>
      </w:r>
      <w:r w:rsidR="0025129A">
        <w:rPr>
          <w:rFonts w:eastAsia="MS Mincho"/>
        </w:rPr>
        <w:t xml:space="preserve"> (1. Johannes </w:t>
      </w:r>
      <w:r>
        <w:rPr>
          <w:rFonts w:eastAsia="MS Mincho"/>
        </w:rPr>
        <w:t>1</w:t>
      </w:r>
      <w:r w:rsidR="0025129A">
        <w:rPr>
          <w:rFonts w:eastAsia="MS Mincho"/>
        </w:rPr>
        <w:t>, 7</w:t>
      </w:r>
      <w:r>
        <w:rPr>
          <w:rFonts w:eastAsia="MS Mincho"/>
        </w:rPr>
        <w:t xml:space="preserve">). Sein Blut, und nur dieses allein, erwirkt Vergebung der Sünden, nicht das Geben von Almosen oder das Ehren von Vater und Mutter, wie gewollt das alles von Gott ansonsten auch ist! Es ist ein untrügliches Kennzeichen jeder falschen Religion, Sekte oder jeden Irrglaubens, dass der Mensch meint, er müsse zu seinem Heil noch etwas tun! Es widerstrebt der unerlösten menschlichen Natur, dass ihre vermeintlich guten Werke in den Augen Gottes nichts zählen. An diesem Punkt wird der wahre Geist ganz deutlich, der die Apokryphen zumindest mitgeprägt hat. Es ist der </w:t>
      </w:r>
      <w:r>
        <w:rPr>
          <w:rStyle w:val="KursivimFlietext"/>
          <w:rFonts w:eastAsia="MS Mincho"/>
        </w:rPr>
        <w:t>„Mächtige, der in der Luft herrscht, nämlich der Geist, der zu dieser Zeit am Werk ist in den Kindern des Ung</w:t>
      </w:r>
      <w:r>
        <w:rPr>
          <w:rStyle w:val="KursivimFlietext"/>
          <w:rFonts w:eastAsia="MS Mincho"/>
        </w:rPr>
        <w:t>e</w:t>
      </w:r>
      <w:r>
        <w:rPr>
          <w:rStyle w:val="KursivimFlietext"/>
          <w:rFonts w:eastAsia="MS Mincho"/>
        </w:rPr>
        <w:t>horsams“</w:t>
      </w:r>
      <w:r>
        <w:rPr>
          <w:rFonts w:eastAsia="MS Mincho"/>
        </w:rPr>
        <w:t xml:space="preserve"> (</w:t>
      </w:r>
      <w:r w:rsidR="0025129A">
        <w:rPr>
          <w:rFonts w:eastAsia="MS Mincho"/>
        </w:rPr>
        <w:t xml:space="preserve">Epheser </w:t>
      </w:r>
      <w:r>
        <w:rPr>
          <w:rFonts w:eastAsia="MS Mincho"/>
        </w:rPr>
        <w:t>2</w:t>
      </w:r>
      <w:r w:rsidR="0025129A">
        <w:rPr>
          <w:rFonts w:eastAsia="MS Mincho"/>
        </w:rPr>
        <w:t>, 2</w:t>
      </w:r>
      <w:r>
        <w:rPr>
          <w:rFonts w:eastAsia="MS Mincho"/>
        </w:rPr>
        <w:t>): Satan! Dies darf bei allem Guten, das in den Apokryphen sonst noch g</w:t>
      </w:r>
      <w:r>
        <w:rPr>
          <w:rFonts w:eastAsia="MS Mincho"/>
        </w:rPr>
        <w:t>e</w:t>
      </w:r>
      <w:r>
        <w:rPr>
          <w:rFonts w:eastAsia="MS Mincho"/>
        </w:rPr>
        <w:t>schrieben steht, nicht übersehen werden!</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Das Herz, die Leber und die Galle des Fisches</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In </w:t>
      </w:r>
      <w:proofErr w:type="spellStart"/>
      <w:r>
        <w:rPr>
          <w:rFonts w:eastAsia="MS Mincho"/>
        </w:rPr>
        <w:t>Tobit</w:t>
      </w:r>
      <w:proofErr w:type="spellEnd"/>
      <w:r>
        <w:rPr>
          <w:rFonts w:eastAsia="MS Mincho"/>
        </w:rPr>
        <w:t xml:space="preserve"> 6</w:t>
      </w:r>
      <w:r w:rsidR="0025129A">
        <w:rPr>
          <w:rFonts w:eastAsia="MS Mincho"/>
        </w:rPr>
        <w:t>, 1</w:t>
      </w:r>
      <w:r>
        <w:rPr>
          <w:rFonts w:eastAsia="MS Mincho"/>
        </w:rPr>
        <w:t>-10 wird berichtet, wie Tobias den Fisch fing, der ihn fressen wollte und wie ihm ein Engel den Auftrag gibt, das Herz, die Leber und die Galle aus dem Leib des F</w:t>
      </w:r>
      <w:r>
        <w:rPr>
          <w:rFonts w:eastAsia="MS Mincho"/>
        </w:rPr>
        <w:t>i</w:t>
      </w:r>
      <w:r>
        <w:rPr>
          <w:rFonts w:eastAsia="MS Mincho"/>
        </w:rPr>
        <w:t>sches herauszuschneiden. Der Rauch der auf Kohlen verbrannten Leber und Herz soll die Kraft haben, alle Dämonen von Mann und Frau zu vertreiben. Tobias bekommt den Au</w:t>
      </w:r>
      <w:r>
        <w:rPr>
          <w:rFonts w:eastAsia="MS Mincho"/>
        </w:rPr>
        <w:t>f</w:t>
      </w:r>
      <w:r>
        <w:rPr>
          <w:rFonts w:eastAsia="MS Mincho"/>
        </w:rPr>
        <w:t xml:space="preserve">trag, bei einem Mann namens </w:t>
      </w:r>
      <w:proofErr w:type="spellStart"/>
      <w:r>
        <w:rPr>
          <w:rFonts w:eastAsia="MS Mincho"/>
        </w:rPr>
        <w:t>Reguel</w:t>
      </w:r>
      <w:proofErr w:type="spellEnd"/>
      <w:r>
        <w:rPr>
          <w:rFonts w:eastAsia="MS Mincho"/>
        </w:rPr>
        <w:t xml:space="preserve"> einzukehren und um die Hand dessen Tochter Sara anzuhalten, die von einem Dämon besessen ist, der ihre sieben Männer, die sie b</w:t>
      </w:r>
      <w:r>
        <w:rPr>
          <w:rFonts w:eastAsia="MS Mincho"/>
        </w:rPr>
        <w:t>e</w:t>
      </w:r>
      <w:r>
        <w:rPr>
          <w:rFonts w:eastAsia="MS Mincho"/>
        </w:rPr>
        <w:t>reits hatte, in der Hochzeitsnacht alle nacheinander tötete (</w:t>
      </w:r>
      <w:proofErr w:type="spellStart"/>
      <w:r w:rsidR="0025129A">
        <w:rPr>
          <w:rFonts w:eastAsia="MS Mincho"/>
        </w:rPr>
        <w:t>Tobit</w:t>
      </w:r>
      <w:proofErr w:type="spellEnd"/>
      <w:r w:rsidR="0025129A">
        <w:rPr>
          <w:rFonts w:eastAsia="MS Mincho"/>
        </w:rPr>
        <w:t xml:space="preserve"> </w:t>
      </w:r>
      <w:r>
        <w:rPr>
          <w:rFonts w:eastAsia="MS Mincho"/>
        </w:rPr>
        <w:t>6</w:t>
      </w:r>
      <w:r w:rsidR="0025129A">
        <w:rPr>
          <w:rFonts w:eastAsia="MS Mincho"/>
        </w:rPr>
        <w:t>, 1</w:t>
      </w:r>
      <w:r>
        <w:rPr>
          <w:rFonts w:eastAsia="MS Mincho"/>
        </w:rPr>
        <w:t>2-15). Tobias g</w:t>
      </w:r>
      <w:r>
        <w:rPr>
          <w:rFonts w:eastAsia="MS Mincho"/>
        </w:rPr>
        <w:t>e</w:t>
      </w:r>
      <w:r>
        <w:rPr>
          <w:rFonts w:eastAsia="MS Mincho"/>
        </w:rPr>
        <w:t xml:space="preserve">horcht, nimmt Sara zur Frau und räuchert in der Hochzeitsnacht, indem er die Leber und das Herz auf Kohlen verbrennt. Es wird dann berichtet, dass </w:t>
      </w:r>
      <w:r>
        <w:rPr>
          <w:rStyle w:val="KursivimFlietext"/>
          <w:rFonts w:eastAsia="MS Mincho"/>
        </w:rPr>
        <w:t>„der Engel Raphael den Geist gefangen nahm und ihn in die Wüste fern in Ägypten band“</w:t>
      </w:r>
      <w:r>
        <w:rPr>
          <w:rFonts w:eastAsia="MS Mincho"/>
        </w:rPr>
        <w:t xml:space="preserve"> (</w:t>
      </w:r>
      <w:proofErr w:type="spellStart"/>
      <w:r w:rsidR="0025129A">
        <w:rPr>
          <w:rFonts w:eastAsia="MS Mincho"/>
        </w:rPr>
        <w:t>Tobit</w:t>
      </w:r>
      <w:proofErr w:type="spellEnd"/>
      <w:r w:rsidR="0025129A">
        <w:rPr>
          <w:rFonts w:eastAsia="MS Mincho"/>
        </w:rPr>
        <w:t xml:space="preserve"> </w:t>
      </w:r>
      <w:r>
        <w:rPr>
          <w:rFonts w:eastAsia="MS Mincho"/>
        </w:rPr>
        <w:t>8</w:t>
      </w:r>
      <w:r w:rsidR="0025129A">
        <w:rPr>
          <w:rFonts w:eastAsia="MS Mincho"/>
        </w:rPr>
        <w:t>, 3</w:t>
      </w:r>
      <w:r>
        <w:rPr>
          <w:rFonts w:eastAsia="MS Mincho"/>
        </w:rPr>
        <w:t>).</w:t>
      </w:r>
    </w:p>
    <w:p w:rsidR="00D843E1" w:rsidRDefault="00FA6317">
      <w:pPr>
        <w:pStyle w:val="Text1Zeileeingerckt"/>
        <w:spacing w:line="240" w:lineRule="auto"/>
        <w:rPr>
          <w:rFonts w:eastAsia="MS Mincho"/>
        </w:rPr>
      </w:pPr>
      <w:r>
        <w:rPr>
          <w:rFonts w:eastAsia="MS Mincho"/>
        </w:rPr>
        <w:t xml:space="preserve">Im Gegensatz zu dem hier Berichteten lehrt das Neue Testament, dass Dämonen nur durch </w:t>
      </w:r>
      <w:r>
        <w:rPr>
          <w:rStyle w:val="KursivimFlietext"/>
          <w:rFonts w:eastAsia="MS Mincho"/>
        </w:rPr>
        <w:t>„Gebet und Fasten“</w:t>
      </w:r>
      <w:r>
        <w:rPr>
          <w:rFonts w:eastAsia="MS Mincho"/>
        </w:rPr>
        <w:t xml:space="preserve"> (</w:t>
      </w:r>
      <w:r w:rsidR="0025129A">
        <w:rPr>
          <w:rFonts w:eastAsia="MS Mincho"/>
        </w:rPr>
        <w:t xml:space="preserve">Markus </w:t>
      </w:r>
      <w:r>
        <w:rPr>
          <w:rFonts w:eastAsia="MS Mincho"/>
        </w:rPr>
        <w:t>9</w:t>
      </w:r>
      <w:r w:rsidR="0025129A">
        <w:rPr>
          <w:rFonts w:eastAsia="MS Mincho"/>
        </w:rPr>
        <w:t>, 2</w:t>
      </w:r>
      <w:r>
        <w:rPr>
          <w:rFonts w:eastAsia="MS Mincho"/>
        </w:rPr>
        <w:t>9) ausfahren und nicht durch irgendwelche Rä</w:t>
      </w:r>
      <w:r>
        <w:rPr>
          <w:rFonts w:eastAsia="MS Mincho"/>
        </w:rPr>
        <w:t>u</w:t>
      </w:r>
      <w:r>
        <w:rPr>
          <w:rFonts w:eastAsia="MS Mincho"/>
        </w:rPr>
        <w:t>cherr</w:t>
      </w:r>
      <w:r>
        <w:rPr>
          <w:rFonts w:eastAsia="MS Mincho"/>
        </w:rPr>
        <w:t>i</w:t>
      </w:r>
      <w:r>
        <w:rPr>
          <w:rFonts w:eastAsia="MS Mincho"/>
        </w:rPr>
        <w:t>ten. Solche geheimnisvollen Riten findet man in allen heidnischen Religionen bei deren Schamanen und Medizinmännern. Es ist die Frage zu stellen, ob hier nicht heidn</w:t>
      </w:r>
      <w:r>
        <w:rPr>
          <w:rFonts w:eastAsia="MS Mincho"/>
        </w:rPr>
        <w:t>i</w:t>
      </w:r>
      <w:r>
        <w:rPr>
          <w:rFonts w:eastAsia="MS Mincho"/>
        </w:rPr>
        <w:t xml:space="preserve">sches, okkultes Gedankengut mit jüdischen Glaubensinhalten vermischt </w:t>
      </w:r>
      <w:proofErr w:type="gramStart"/>
      <w:r>
        <w:rPr>
          <w:rFonts w:eastAsia="MS Mincho"/>
        </w:rPr>
        <w:t>wurden</w:t>
      </w:r>
      <w:proofErr w:type="gramEnd"/>
      <w:r>
        <w:rPr>
          <w:rFonts w:eastAsia="MS Mincho"/>
        </w:rPr>
        <w:t>.</w:t>
      </w:r>
    </w:p>
    <w:p w:rsidR="00D843E1" w:rsidRDefault="00FA6317">
      <w:pPr>
        <w:pStyle w:val="Text1Zeileeingerckt"/>
        <w:spacing w:line="240" w:lineRule="auto"/>
        <w:rPr>
          <w:rFonts w:eastAsia="MS Mincho"/>
        </w:rPr>
      </w:pPr>
      <w:r>
        <w:rPr>
          <w:rFonts w:eastAsia="MS Mincho"/>
        </w:rPr>
        <w:t xml:space="preserve">Den Ernst der Lage erkennen wir auch aus Apostelgeschichte 19, wo berichtet wird, wie die sieben Söhne eines gewissen </w:t>
      </w:r>
      <w:proofErr w:type="spellStart"/>
      <w:r>
        <w:rPr>
          <w:rFonts w:eastAsia="MS Mincho"/>
        </w:rPr>
        <w:t>Hohenpriesters</w:t>
      </w:r>
      <w:proofErr w:type="spellEnd"/>
      <w:r>
        <w:rPr>
          <w:rFonts w:eastAsia="MS Mincho"/>
        </w:rPr>
        <w:t xml:space="preserve"> </w:t>
      </w:r>
      <w:proofErr w:type="spellStart"/>
      <w:r>
        <w:rPr>
          <w:rFonts w:eastAsia="MS Mincho"/>
        </w:rPr>
        <w:t>Skevas</w:t>
      </w:r>
      <w:proofErr w:type="spellEnd"/>
      <w:r>
        <w:rPr>
          <w:rFonts w:eastAsia="MS Mincho"/>
        </w:rPr>
        <w:t xml:space="preserve"> versuchten, einen Dämon ausz</w:t>
      </w:r>
      <w:r>
        <w:rPr>
          <w:rFonts w:eastAsia="MS Mincho"/>
        </w:rPr>
        <w:t>u</w:t>
      </w:r>
      <w:r>
        <w:rPr>
          <w:rFonts w:eastAsia="MS Mincho"/>
        </w:rPr>
        <w:t xml:space="preserve">treiben. Dabei benutzten sie die Formel: </w:t>
      </w:r>
      <w:r>
        <w:rPr>
          <w:rStyle w:val="KursivimFlietext"/>
          <w:rFonts w:eastAsia="MS Mincho"/>
        </w:rPr>
        <w:t>„Ich beschwöre euch bei dem Jesus, den Paulus predigt“</w:t>
      </w:r>
      <w:r>
        <w:rPr>
          <w:rFonts w:eastAsia="MS Mincho"/>
        </w:rPr>
        <w:t xml:space="preserve"> (</w:t>
      </w:r>
      <w:r w:rsidR="0025129A">
        <w:rPr>
          <w:rFonts w:eastAsia="MS Mincho"/>
        </w:rPr>
        <w:t xml:space="preserve">Apostelgeschichte </w:t>
      </w:r>
      <w:r>
        <w:rPr>
          <w:rFonts w:eastAsia="MS Mincho"/>
        </w:rPr>
        <w:t>19</w:t>
      </w:r>
      <w:r w:rsidR="0025129A">
        <w:rPr>
          <w:rFonts w:eastAsia="MS Mincho"/>
        </w:rPr>
        <w:t>, 1</w:t>
      </w:r>
      <w:r>
        <w:rPr>
          <w:rFonts w:eastAsia="MS Mincho"/>
        </w:rPr>
        <w:t xml:space="preserve">3). Obwohl sie sich auf den beriefen, der wirklich Herr über die Dämonen ist, heißt es weiter: </w:t>
      </w:r>
      <w:r>
        <w:rPr>
          <w:rStyle w:val="KursivimFlietext"/>
          <w:rFonts w:eastAsia="MS Mincho"/>
        </w:rPr>
        <w:t>„Aber der böse Geist antwortete und sprach zu ihnen: ‚Jesus ke</w:t>
      </w:r>
      <w:r>
        <w:rPr>
          <w:rStyle w:val="KursivimFlietext"/>
          <w:rFonts w:eastAsia="MS Mincho"/>
        </w:rPr>
        <w:t>n</w:t>
      </w:r>
      <w:r>
        <w:rPr>
          <w:rStyle w:val="KursivimFlietext"/>
          <w:rFonts w:eastAsia="MS Mincho"/>
        </w:rPr>
        <w:t>ne ich wohl, und von Paulus weiß ich wohl; aber wer seid ihr?’ Und der Mensch, in dem der böse Geist war, stürzte sich auf sie und überwältigte sie alle und ric</w:t>
      </w:r>
      <w:r>
        <w:rPr>
          <w:rStyle w:val="KursivimFlietext"/>
          <w:rFonts w:eastAsia="MS Mincho"/>
        </w:rPr>
        <w:t>h</w:t>
      </w:r>
      <w:r>
        <w:rPr>
          <w:rStyle w:val="KursivimFlietext"/>
          <w:rFonts w:eastAsia="MS Mincho"/>
        </w:rPr>
        <w:t>tete sie so zu, dass sie nackt und verwundet aus dem Haus flohen“</w:t>
      </w:r>
      <w:r>
        <w:rPr>
          <w:rFonts w:eastAsia="MS Mincho"/>
        </w:rPr>
        <w:t xml:space="preserve"> (</w:t>
      </w:r>
      <w:r w:rsidR="0025129A">
        <w:rPr>
          <w:rFonts w:eastAsia="MS Mincho"/>
        </w:rPr>
        <w:t xml:space="preserve">Apostelgeschichte </w:t>
      </w:r>
      <w:r>
        <w:rPr>
          <w:rFonts w:eastAsia="MS Mincho"/>
        </w:rPr>
        <w:t>19</w:t>
      </w:r>
      <w:r w:rsidR="0025129A">
        <w:rPr>
          <w:rFonts w:eastAsia="MS Mincho"/>
        </w:rPr>
        <w:t>, 1</w:t>
      </w:r>
      <w:r>
        <w:rPr>
          <w:rFonts w:eastAsia="MS Mincho"/>
        </w:rPr>
        <w:t>5-16). Wer auf diesem G</w:t>
      </w:r>
      <w:r>
        <w:rPr>
          <w:rFonts w:eastAsia="MS Mincho"/>
        </w:rPr>
        <w:t>e</w:t>
      </w:r>
      <w:r>
        <w:rPr>
          <w:rFonts w:eastAsia="MS Mincho"/>
        </w:rPr>
        <w:t>biet arbeiten will, benötigt mehr als auf allen anderen Gebieten die Vollmacht Gottes! Da nützen keine Räucherriten noch sonstigen Formeln, ja noch nicht einmal der rituelle G</w:t>
      </w:r>
      <w:r>
        <w:rPr>
          <w:rFonts w:eastAsia="MS Mincho"/>
        </w:rPr>
        <w:t>e</w:t>
      </w:r>
      <w:r>
        <w:rPr>
          <w:rFonts w:eastAsia="MS Mincho"/>
        </w:rPr>
        <w:t>brauch des Namens Jesu!</w:t>
      </w:r>
    </w:p>
    <w:p w:rsidR="00D843E1" w:rsidRDefault="00FA6317">
      <w:pPr>
        <w:pStyle w:val="Text1Zeileeingerckt"/>
        <w:spacing w:line="240" w:lineRule="auto"/>
        <w:rPr>
          <w:rFonts w:eastAsia="MS Mincho"/>
        </w:rPr>
      </w:pPr>
      <w:r>
        <w:rPr>
          <w:rFonts w:eastAsia="MS Mincho"/>
        </w:rPr>
        <w:t xml:space="preserve">Es wäre weiterhin vom medizinischen Standpunkt aus gesehen zu überprüfen, ob Galle zu Salbe verarbeitet, tatsächlich grünen oder grauen Star heilt oder dagegen vorbeugt, wie </w:t>
      </w:r>
      <w:r>
        <w:rPr>
          <w:rFonts w:eastAsia="MS Mincho"/>
        </w:rPr>
        <w:lastRenderedPageBreak/>
        <w:t>es in Tobias 6</w:t>
      </w:r>
      <w:r w:rsidR="0025129A">
        <w:rPr>
          <w:rFonts w:eastAsia="MS Mincho"/>
        </w:rPr>
        <w:t>, 9</w:t>
      </w:r>
      <w:r>
        <w:rPr>
          <w:rFonts w:eastAsia="MS Mincho"/>
        </w:rPr>
        <w:t xml:space="preserve"> bzw. 10 berichtet wird.</w:t>
      </w:r>
    </w:p>
    <w:p w:rsidR="00A144FC" w:rsidRDefault="00A144FC">
      <w:pPr>
        <w:widowControl/>
        <w:overflowPunct/>
        <w:autoSpaceDE/>
        <w:autoSpaceDN/>
        <w:adjustRightInd/>
        <w:spacing w:line="240" w:lineRule="auto"/>
        <w:jc w:val="left"/>
        <w:textAlignment w:val="auto"/>
        <w:rPr>
          <w:rStyle w:val="Fettdruck"/>
          <w:rFonts w:eastAsia="MS Mincho"/>
        </w:rPr>
      </w:pPr>
      <w:r>
        <w:rPr>
          <w:rStyle w:val="Fettdruck"/>
          <w:rFonts w:eastAsia="MS Mincho"/>
        </w:rPr>
        <w:br w:type="page"/>
      </w:r>
    </w:p>
    <w:p w:rsidR="00D843E1" w:rsidRDefault="00FA6317">
      <w:pPr>
        <w:spacing w:line="240" w:lineRule="auto"/>
        <w:rPr>
          <w:rStyle w:val="Fettdruck"/>
          <w:rFonts w:eastAsia="MS Mincho"/>
        </w:rPr>
      </w:pPr>
      <w:r>
        <w:rPr>
          <w:rStyle w:val="Fettdruck"/>
          <w:rFonts w:eastAsia="MS Mincho"/>
        </w:rPr>
        <w:lastRenderedPageBreak/>
        <w:t>Das Gebet für die Toten und die Fürbitte der Heiligen</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Im Vorwort zu den beiden </w:t>
      </w:r>
      <w:proofErr w:type="spellStart"/>
      <w:r>
        <w:rPr>
          <w:rFonts w:eastAsia="MS Mincho"/>
        </w:rPr>
        <w:t>Makkabäerbüchern</w:t>
      </w:r>
      <w:proofErr w:type="spellEnd"/>
      <w:r>
        <w:rPr>
          <w:rFonts w:eastAsia="MS Mincho"/>
        </w:rPr>
        <w:t xml:space="preserve"> steht in der Jerusalemer Bibel: „Das Buch ist bedeutsam durch seine Aussagen über... das Gebet für die Toten,... die Fürbitte der Heiligen“ (</w:t>
      </w:r>
      <w:r>
        <w:rPr>
          <w:rStyle w:val="KursivimFlietext"/>
          <w:rFonts w:eastAsia="MS Mincho"/>
        </w:rPr>
        <w:t>Jerusalemer Bibel</w:t>
      </w:r>
      <w:r>
        <w:rPr>
          <w:rFonts w:eastAsia="MS Mincho"/>
        </w:rPr>
        <w:t xml:space="preserve">, Freiburg: Herder-Verlag, S. 659). Die katholische Kirche gründet also einige ihrer Lehren, die mit der Heiligen Schrift nicht in Übereinstimmung zu bringen sind, nicht nur auf die Tradition, sondern auch auf die Apokryphen und verstößt somit gegen das Gebot, nichts zur Heiligen Schrift hinzuzufügen (vgl. </w:t>
      </w:r>
      <w:r w:rsidR="0025129A">
        <w:rPr>
          <w:rFonts w:eastAsia="MS Mincho"/>
        </w:rPr>
        <w:t xml:space="preserve">5. Mose </w:t>
      </w:r>
      <w:r>
        <w:rPr>
          <w:rFonts w:eastAsia="MS Mincho"/>
        </w:rPr>
        <w:t>4</w:t>
      </w:r>
      <w:r w:rsidR="0025129A">
        <w:rPr>
          <w:rFonts w:eastAsia="MS Mincho"/>
        </w:rPr>
        <w:t>, 2</w:t>
      </w:r>
      <w:r>
        <w:rPr>
          <w:rFonts w:eastAsia="MS Mincho"/>
        </w:rPr>
        <w:t xml:space="preserve">; </w:t>
      </w:r>
      <w:r w:rsidR="0025129A">
        <w:rPr>
          <w:rFonts w:eastAsia="MS Mincho"/>
        </w:rPr>
        <w:t xml:space="preserve">5. Mose </w:t>
      </w:r>
      <w:r>
        <w:rPr>
          <w:rFonts w:eastAsia="MS Mincho"/>
        </w:rPr>
        <w:t>13</w:t>
      </w:r>
      <w:r w:rsidR="0025129A">
        <w:rPr>
          <w:rFonts w:eastAsia="MS Mincho"/>
        </w:rPr>
        <w:t>, 1</w:t>
      </w:r>
      <w:r>
        <w:rPr>
          <w:rFonts w:eastAsia="MS Mincho"/>
        </w:rPr>
        <w:t xml:space="preserve">; </w:t>
      </w:r>
      <w:r w:rsidR="0025129A">
        <w:rPr>
          <w:rFonts w:eastAsia="MS Mincho"/>
        </w:rPr>
        <w:t xml:space="preserve">Sprüche </w:t>
      </w:r>
      <w:r>
        <w:rPr>
          <w:rFonts w:eastAsia="MS Mincho"/>
        </w:rPr>
        <w:t>30</w:t>
      </w:r>
      <w:r w:rsidR="0025129A">
        <w:rPr>
          <w:rFonts w:eastAsia="MS Mincho"/>
        </w:rPr>
        <w:t>, 5</w:t>
      </w:r>
      <w:r>
        <w:rPr>
          <w:rFonts w:eastAsia="MS Mincho"/>
        </w:rPr>
        <w:t xml:space="preserve">-6; </w:t>
      </w:r>
      <w:r w:rsidR="006F1660">
        <w:rPr>
          <w:rFonts w:eastAsia="MS Mincho"/>
        </w:rPr>
        <w:t xml:space="preserve">Offenbarung </w:t>
      </w:r>
      <w:r>
        <w:rPr>
          <w:rFonts w:eastAsia="MS Mincho"/>
        </w:rPr>
        <w:t>22</w:t>
      </w:r>
      <w:r w:rsidR="0025129A">
        <w:rPr>
          <w:rFonts w:eastAsia="MS Mincho"/>
        </w:rPr>
        <w:t>, 1</w:t>
      </w:r>
      <w:r>
        <w:rPr>
          <w:rFonts w:eastAsia="MS Mincho"/>
        </w:rPr>
        <w:t>8). Die römisch-katholischen Theologen wissen genau, dass sie sich mit den Dogmen der Fürbitte der sogenannten Heiligen und des Geb</w:t>
      </w:r>
      <w:r>
        <w:rPr>
          <w:rFonts w:eastAsia="MS Mincho"/>
        </w:rPr>
        <w:t>e</w:t>
      </w:r>
      <w:r>
        <w:rPr>
          <w:rFonts w:eastAsia="MS Mincho"/>
        </w:rPr>
        <w:t xml:space="preserve">tes für die Toten im Widerspruch zur Bibel befinden. Eine Anmerkung in der Einleitung zu den </w:t>
      </w:r>
      <w:proofErr w:type="spellStart"/>
      <w:r>
        <w:rPr>
          <w:rFonts w:eastAsia="MS Mincho"/>
        </w:rPr>
        <w:t>Makkabäerbüchern</w:t>
      </w:r>
      <w:proofErr w:type="spellEnd"/>
      <w:r>
        <w:rPr>
          <w:rFonts w:eastAsia="MS Mincho"/>
        </w:rPr>
        <w:t xml:space="preserve"> in der Jerusalemer Bibel, die ja von der katholischen Kirche ve</w:t>
      </w:r>
      <w:r>
        <w:rPr>
          <w:rFonts w:eastAsia="MS Mincho"/>
        </w:rPr>
        <w:t>r</w:t>
      </w:r>
      <w:r>
        <w:rPr>
          <w:rFonts w:eastAsia="MS Mincho"/>
        </w:rPr>
        <w:t xml:space="preserve">trieben wird, </w:t>
      </w:r>
      <w:proofErr w:type="spellStart"/>
      <w:r>
        <w:rPr>
          <w:rFonts w:eastAsia="MS Mincho"/>
        </w:rPr>
        <w:t>beweißt</w:t>
      </w:r>
      <w:proofErr w:type="spellEnd"/>
      <w:r>
        <w:rPr>
          <w:rFonts w:eastAsia="MS Mincho"/>
        </w:rPr>
        <w:t xml:space="preserve"> das deutlich: „Da sich diese Aussagen auf Fragen richten, die in den anderen Schriften des Alten Testamentes offengeblieben waren, rechtfertigen sie die Aut</w:t>
      </w:r>
      <w:r>
        <w:rPr>
          <w:rFonts w:eastAsia="MS Mincho"/>
        </w:rPr>
        <w:t>o</w:t>
      </w:r>
      <w:r>
        <w:rPr>
          <w:rFonts w:eastAsia="MS Mincho"/>
        </w:rPr>
        <w:t>rität, die die Kirche dem Buch zuerkannt hat“ (S.659).</w:t>
      </w:r>
    </w:p>
    <w:p w:rsidR="00D843E1" w:rsidRDefault="00FA6317">
      <w:pPr>
        <w:pStyle w:val="Text1Zeileeingerckt"/>
        <w:spacing w:line="240" w:lineRule="auto"/>
        <w:rPr>
          <w:rFonts w:eastAsia="MS Mincho"/>
        </w:rPr>
      </w:pPr>
      <w:r>
        <w:rPr>
          <w:rFonts w:eastAsia="MS Mincho"/>
        </w:rPr>
        <w:t>Wir lesen in 2. Makkabäer 12</w:t>
      </w:r>
      <w:r w:rsidR="0025129A">
        <w:rPr>
          <w:rFonts w:eastAsia="MS Mincho"/>
        </w:rPr>
        <w:t>, 4</w:t>
      </w:r>
      <w:r>
        <w:rPr>
          <w:rFonts w:eastAsia="MS Mincho"/>
        </w:rPr>
        <w:t xml:space="preserve">0-45 bzw. 41-46 über das Sühnopfer für Erschlagene. Würden Erschlagene nicht auferstehen, so heißt es, </w:t>
      </w:r>
      <w:r>
        <w:rPr>
          <w:rStyle w:val="KursivimFlietext"/>
          <w:rFonts w:eastAsia="MS Mincho"/>
        </w:rPr>
        <w:t>„wäre es vergeblich und eine Torheit gewesen, für die Toten zu bitten“</w:t>
      </w:r>
      <w:r>
        <w:rPr>
          <w:rFonts w:eastAsia="MS Mincho"/>
        </w:rPr>
        <w:t xml:space="preserve"> (V.44). Die Tatsache der Auferstehung wird als Legit</w:t>
      </w:r>
      <w:r>
        <w:rPr>
          <w:rFonts w:eastAsia="MS Mincho"/>
        </w:rPr>
        <w:t>i</w:t>
      </w:r>
      <w:r>
        <w:rPr>
          <w:rFonts w:eastAsia="MS Mincho"/>
        </w:rPr>
        <w:t xml:space="preserve">mation für das Gebet für die Toten angesehen, ja sogar </w:t>
      </w:r>
      <w:r>
        <w:rPr>
          <w:rStyle w:val="KursivimFlietext"/>
          <w:rFonts w:eastAsia="MS Mincho"/>
        </w:rPr>
        <w:t>„dass ihnen die Sünde vergeben würde“</w:t>
      </w:r>
      <w:r>
        <w:rPr>
          <w:rFonts w:eastAsia="MS Mincho"/>
        </w:rPr>
        <w:t xml:space="preserve"> (V.45 bzw. 46). Nirgendwo im Alten oder Neuen Testament ist eine Stelle zu fi</w:t>
      </w:r>
      <w:r>
        <w:rPr>
          <w:rFonts w:eastAsia="MS Mincho"/>
        </w:rPr>
        <w:t>n</w:t>
      </w:r>
      <w:r>
        <w:rPr>
          <w:rFonts w:eastAsia="MS Mincho"/>
        </w:rPr>
        <w:t>den, die uns auffordert, für bereits verstorbene Menschen zu beten, dass ihnen die Sünden nachgelassen werden. Im Gegenteil! Im Augenblick des Todes ist das Schicksal eines Me</w:t>
      </w:r>
      <w:r>
        <w:rPr>
          <w:rFonts w:eastAsia="MS Mincho"/>
        </w:rPr>
        <w:t>n</w:t>
      </w:r>
      <w:r>
        <w:rPr>
          <w:rFonts w:eastAsia="MS Mincho"/>
        </w:rPr>
        <w:t xml:space="preserve">schen für ewig besiegelt: entweder Himmel oder Hölle, wie es Abraham dem reichen Mann in der Qual unmissverständlich entgegenhält: </w:t>
      </w:r>
      <w:r>
        <w:rPr>
          <w:rStyle w:val="KursivimFlietext"/>
          <w:rFonts w:eastAsia="MS Mincho"/>
        </w:rPr>
        <w:t>„Überdies besteht zwischen uns und euch eine große Kluft, dass niemand, der von hier zu euch hinüber will, dorthin kommen kann und auch niemand von dort zu uns herüber“</w:t>
      </w:r>
      <w:r>
        <w:rPr>
          <w:rFonts w:eastAsia="MS Mincho"/>
        </w:rPr>
        <w:t xml:space="preserve"> (</w:t>
      </w:r>
      <w:r w:rsidR="0025129A">
        <w:rPr>
          <w:rFonts w:eastAsia="MS Mincho"/>
        </w:rPr>
        <w:t>Lukas</w:t>
      </w:r>
      <w:r>
        <w:rPr>
          <w:rFonts w:eastAsia="MS Mincho"/>
        </w:rPr>
        <w:t xml:space="preserve"> 16</w:t>
      </w:r>
      <w:r w:rsidR="0025129A">
        <w:rPr>
          <w:rFonts w:eastAsia="MS Mincho"/>
        </w:rPr>
        <w:t>, 2</w:t>
      </w:r>
      <w:r>
        <w:rPr>
          <w:rFonts w:eastAsia="MS Mincho"/>
        </w:rPr>
        <w:t>6).</w:t>
      </w:r>
    </w:p>
    <w:p w:rsidR="00D843E1" w:rsidRDefault="00FA6317">
      <w:pPr>
        <w:pStyle w:val="Text1Zeileeingerckt"/>
        <w:spacing w:line="240" w:lineRule="auto"/>
        <w:rPr>
          <w:rFonts w:eastAsia="MS Mincho"/>
        </w:rPr>
      </w:pPr>
      <w:r>
        <w:rPr>
          <w:rFonts w:eastAsia="MS Mincho"/>
        </w:rPr>
        <w:t>In 2. Makkabäer 15</w:t>
      </w:r>
      <w:r w:rsidR="0025129A">
        <w:rPr>
          <w:rFonts w:eastAsia="MS Mincho"/>
        </w:rPr>
        <w:t>, 1</w:t>
      </w:r>
      <w:r>
        <w:rPr>
          <w:rFonts w:eastAsia="MS Mincho"/>
        </w:rPr>
        <w:t xml:space="preserve">2-16 wird berichtet, wie der Hohepriester </w:t>
      </w:r>
      <w:proofErr w:type="spellStart"/>
      <w:r>
        <w:rPr>
          <w:rFonts w:eastAsia="MS Mincho"/>
        </w:rPr>
        <w:t>Onias</w:t>
      </w:r>
      <w:proofErr w:type="spellEnd"/>
      <w:r>
        <w:rPr>
          <w:rFonts w:eastAsia="MS Mincho"/>
        </w:rPr>
        <w:t xml:space="preserve"> für das ganze Volk der Juden betet. Dabei soll ihm der Prophet Jeremia erschienen sein als alter herrl</w:t>
      </w:r>
      <w:r>
        <w:rPr>
          <w:rFonts w:eastAsia="MS Mincho"/>
        </w:rPr>
        <w:t>i</w:t>
      </w:r>
      <w:r>
        <w:rPr>
          <w:rFonts w:eastAsia="MS Mincho"/>
        </w:rPr>
        <w:t xml:space="preserve">cher Mann in köstlichen Kleidern und in einer ganz herrlichen Gestalt. Es heißt in Vers 14: </w:t>
      </w:r>
      <w:r>
        <w:rPr>
          <w:rStyle w:val="KursivimFlietext"/>
          <w:rFonts w:eastAsia="MS Mincho"/>
        </w:rPr>
        <w:t xml:space="preserve">„Und </w:t>
      </w:r>
      <w:proofErr w:type="spellStart"/>
      <w:r>
        <w:rPr>
          <w:rStyle w:val="KursivimFlietext"/>
          <w:rFonts w:eastAsia="MS Mincho"/>
        </w:rPr>
        <w:t>Onias</w:t>
      </w:r>
      <w:proofErr w:type="spellEnd"/>
      <w:r>
        <w:rPr>
          <w:rStyle w:val="KursivimFlietext"/>
          <w:rFonts w:eastAsia="MS Mincho"/>
        </w:rPr>
        <w:t xml:space="preserve"> sprach zu den Juden: ‚Dieser ist Jeremia, der Prophet Gottes, der deine Br</w:t>
      </w:r>
      <w:r>
        <w:rPr>
          <w:rStyle w:val="KursivimFlietext"/>
          <w:rFonts w:eastAsia="MS Mincho"/>
        </w:rPr>
        <w:t>ü</w:t>
      </w:r>
      <w:r>
        <w:rPr>
          <w:rStyle w:val="KursivimFlietext"/>
          <w:rFonts w:eastAsia="MS Mincho"/>
        </w:rPr>
        <w:t xml:space="preserve">der sehr lieb hat und betet stets für das Volk und die </w:t>
      </w:r>
      <w:proofErr w:type="spellStart"/>
      <w:r>
        <w:rPr>
          <w:rStyle w:val="KursivimFlietext"/>
          <w:rFonts w:eastAsia="MS Mincho"/>
        </w:rPr>
        <w:t>heilige</w:t>
      </w:r>
      <w:proofErr w:type="spellEnd"/>
      <w:r>
        <w:rPr>
          <w:rStyle w:val="KursivimFlietext"/>
          <w:rFonts w:eastAsia="MS Mincho"/>
        </w:rPr>
        <w:t xml:space="preserve"> Stadt.’“</w:t>
      </w:r>
      <w:r>
        <w:rPr>
          <w:rFonts w:eastAsia="MS Mincho"/>
        </w:rPr>
        <w:t xml:space="preserve"> Unter anderem en</w:t>
      </w:r>
      <w:r>
        <w:rPr>
          <w:rFonts w:eastAsia="MS Mincho"/>
        </w:rPr>
        <w:t>t</w:t>
      </w:r>
      <w:r>
        <w:rPr>
          <w:rFonts w:eastAsia="MS Mincho"/>
        </w:rPr>
        <w:t>wickelte die katholische Kirche aus dieser Stelle das Dogma von der Anrufung Marias und der Heiligen als Mittlerpersonen zwischen Gott und den Menschen. Dem ist entgegenz</w:t>
      </w:r>
      <w:r>
        <w:rPr>
          <w:rFonts w:eastAsia="MS Mincho"/>
        </w:rPr>
        <w:t>u</w:t>
      </w:r>
      <w:r>
        <w:rPr>
          <w:rFonts w:eastAsia="MS Mincho"/>
        </w:rPr>
        <w:t xml:space="preserve">halten, dass das Neue Testament eindeutig lehrt, dass nur </w:t>
      </w:r>
      <w:r>
        <w:rPr>
          <w:rStyle w:val="KursivimFlietext"/>
          <w:rFonts w:eastAsia="MS Mincho"/>
        </w:rPr>
        <w:t>„ein Gott und ein Mittler zw</w:t>
      </w:r>
      <w:r>
        <w:rPr>
          <w:rStyle w:val="KursivimFlietext"/>
          <w:rFonts w:eastAsia="MS Mincho"/>
        </w:rPr>
        <w:t>i</w:t>
      </w:r>
      <w:r>
        <w:rPr>
          <w:rStyle w:val="KursivimFlietext"/>
          <w:rFonts w:eastAsia="MS Mincho"/>
        </w:rPr>
        <w:t>schen Gott und den Menschen ist, nämlich der Mensch Christus Jesus“</w:t>
      </w:r>
      <w:r>
        <w:rPr>
          <w:rFonts w:eastAsia="MS Mincho"/>
        </w:rPr>
        <w:t xml:space="preserve"> (</w:t>
      </w:r>
      <w:r w:rsidR="0025129A">
        <w:rPr>
          <w:rFonts w:eastAsia="MS Mincho"/>
        </w:rPr>
        <w:t xml:space="preserve">1. Timotheus </w:t>
      </w:r>
      <w:r>
        <w:rPr>
          <w:rFonts w:eastAsia="MS Mincho"/>
        </w:rPr>
        <w:t>2</w:t>
      </w:r>
      <w:r w:rsidR="0025129A">
        <w:rPr>
          <w:rFonts w:eastAsia="MS Mincho"/>
        </w:rPr>
        <w:t>, 5</w:t>
      </w:r>
      <w:r>
        <w:rPr>
          <w:rFonts w:eastAsia="MS Mincho"/>
        </w:rPr>
        <w:t>).</w:t>
      </w:r>
    </w:p>
    <w:p w:rsidR="00D843E1" w:rsidRDefault="00FA6317">
      <w:pPr>
        <w:pStyle w:val="Text1Zeileeingerckt"/>
        <w:spacing w:line="240" w:lineRule="auto"/>
        <w:rPr>
          <w:rFonts w:eastAsia="MS Mincho"/>
        </w:rPr>
      </w:pPr>
      <w:r>
        <w:rPr>
          <w:rFonts w:eastAsia="MS Mincho"/>
        </w:rPr>
        <w:t>Auch hier wird wieder deutlich, wie weit entfernt die Apokryphen davon sind, Gottes Wort zu sein und wie schädlich es für das ewige Heil ist, wenn man ihre Aussagen in den Rang von bindenden Lehraussagen erhebt!</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Die Zitate aus dem Alten Testament</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Die einzelnen Bücher der Apokryphen bringen immer wieder Zitate aus dem Alten Te</w:t>
      </w:r>
      <w:r>
        <w:rPr>
          <w:rFonts w:eastAsia="MS Mincho"/>
        </w:rPr>
        <w:t>s</w:t>
      </w:r>
      <w:r>
        <w:rPr>
          <w:rFonts w:eastAsia="MS Mincho"/>
        </w:rPr>
        <w:t>tament, die die Argumentation der Schreiber untermauern sollen, ähnlich wie in heutigen Büchern dogmatische Abhandlungen durch Bibelzitate belegt werden. Einige Beispiele:</w:t>
      </w:r>
    </w:p>
    <w:p w:rsidR="00D843E1" w:rsidRDefault="00FA6317">
      <w:pPr>
        <w:pStyle w:val="Text1Zeileeingerckt"/>
        <w:spacing w:line="240" w:lineRule="auto"/>
        <w:rPr>
          <w:rFonts w:eastAsia="MS Mincho"/>
        </w:rPr>
      </w:pPr>
      <w:r>
        <w:rPr>
          <w:rFonts w:eastAsia="MS Mincho"/>
        </w:rPr>
        <w:t xml:space="preserve">In 2. Makkabäer 7 wird der Märtyrertod der sieben Brüder und ihrer Mutter berichtet. Als der erste Sohn gemartert wurde, ermahnen sich die anderen durch ein Zitat aus dem 5. Buch Mose: </w:t>
      </w:r>
      <w:r>
        <w:rPr>
          <w:rStyle w:val="KursivimFlietext"/>
          <w:rFonts w:eastAsia="MS Mincho"/>
        </w:rPr>
        <w:t>„Und seinen Knechten wird er gnädig sein“</w:t>
      </w:r>
      <w:r>
        <w:rPr>
          <w:rFonts w:eastAsia="MS Mincho"/>
        </w:rPr>
        <w:t xml:space="preserve"> (</w:t>
      </w:r>
      <w:r w:rsidR="006F1660">
        <w:rPr>
          <w:rFonts w:eastAsia="MS Mincho"/>
        </w:rPr>
        <w:t>2. Makkabäer</w:t>
      </w:r>
      <w:r>
        <w:rPr>
          <w:rFonts w:eastAsia="MS Mincho"/>
        </w:rPr>
        <w:t xml:space="preserve"> 7</w:t>
      </w:r>
      <w:r w:rsidR="0025129A">
        <w:rPr>
          <w:rFonts w:eastAsia="MS Mincho"/>
        </w:rPr>
        <w:t>, 6</w:t>
      </w:r>
      <w:r>
        <w:rPr>
          <w:rFonts w:eastAsia="MS Mincho"/>
        </w:rPr>
        <w:t xml:space="preserve">). </w:t>
      </w:r>
      <w:proofErr w:type="spellStart"/>
      <w:r>
        <w:rPr>
          <w:rFonts w:eastAsia="MS Mincho"/>
        </w:rPr>
        <w:t>Sirach</w:t>
      </w:r>
      <w:proofErr w:type="spellEnd"/>
      <w:r>
        <w:rPr>
          <w:rFonts w:eastAsia="MS Mincho"/>
        </w:rPr>
        <w:t xml:space="preserve"> 1 r</w:t>
      </w:r>
      <w:r>
        <w:rPr>
          <w:rFonts w:eastAsia="MS Mincho"/>
        </w:rPr>
        <w:t>e</w:t>
      </w:r>
      <w:r>
        <w:rPr>
          <w:rFonts w:eastAsia="MS Mincho"/>
        </w:rPr>
        <w:t>det von der Weisheit und Gottesfurcht und zitiert Psalm 111</w:t>
      </w:r>
      <w:r w:rsidR="0025129A">
        <w:rPr>
          <w:rFonts w:eastAsia="MS Mincho"/>
        </w:rPr>
        <w:t>, 1</w:t>
      </w:r>
      <w:r>
        <w:rPr>
          <w:rFonts w:eastAsia="MS Mincho"/>
        </w:rPr>
        <w:t>0; Sprüche 1</w:t>
      </w:r>
      <w:r w:rsidR="0025129A">
        <w:rPr>
          <w:rFonts w:eastAsia="MS Mincho"/>
        </w:rPr>
        <w:t>, 7</w:t>
      </w:r>
      <w:r>
        <w:rPr>
          <w:rFonts w:eastAsia="MS Mincho"/>
        </w:rPr>
        <w:t>; 9</w:t>
      </w:r>
      <w:r w:rsidR="0025129A">
        <w:rPr>
          <w:rFonts w:eastAsia="MS Mincho"/>
        </w:rPr>
        <w:t>, 1</w:t>
      </w:r>
      <w:r>
        <w:rPr>
          <w:rFonts w:eastAsia="MS Mincho"/>
        </w:rPr>
        <w:t xml:space="preserve">0: </w:t>
      </w:r>
      <w:r>
        <w:rPr>
          <w:rStyle w:val="KursivimFlietext"/>
          <w:rFonts w:eastAsia="MS Mincho"/>
        </w:rPr>
        <w:t>„Die Furcht des Herrn ist der Weisheit Anfang.“</w:t>
      </w:r>
      <w:r>
        <w:rPr>
          <w:rFonts w:eastAsia="MS Mincho"/>
        </w:rPr>
        <w:t xml:space="preserve"> In Baruch 2 finden wir in dem Bußgebet der gefang</w:t>
      </w:r>
      <w:r>
        <w:rPr>
          <w:rFonts w:eastAsia="MS Mincho"/>
        </w:rPr>
        <w:t>e</w:t>
      </w:r>
      <w:r>
        <w:rPr>
          <w:rFonts w:eastAsia="MS Mincho"/>
        </w:rPr>
        <w:t>nen Juden in den Versen 19 bis 20 ein Zitat aus Daniel 9</w:t>
      </w:r>
      <w:r w:rsidR="0025129A">
        <w:rPr>
          <w:rFonts w:eastAsia="MS Mincho"/>
        </w:rPr>
        <w:t>, 1</w:t>
      </w:r>
      <w:r>
        <w:rPr>
          <w:rFonts w:eastAsia="MS Mincho"/>
        </w:rPr>
        <w:t xml:space="preserve">8: </w:t>
      </w:r>
      <w:r>
        <w:rPr>
          <w:rStyle w:val="KursivimFlietext"/>
          <w:rFonts w:eastAsia="MS Mincho"/>
        </w:rPr>
        <w:t>„Herr, unser Gott, wir liegen vor dir mit unserem Gebet, nicht um der Gerechtigkeit willen unserer Väter und unserer K</w:t>
      </w:r>
      <w:r>
        <w:rPr>
          <w:rStyle w:val="KursivimFlietext"/>
          <w:rFonts w:eastAsia="MS Mincho"/>
        </w:rPr>
        <w:t>ö</w:t>
      </w:r>
      <w:r>
        <w:rPr>
          <w:rStyle w:val="KursivimFlietext"/>
          <w:rFonts w:eastAsia="MS Mincho"/>
        </w:rPr>
        <w:t>nige, sondern um deiner Barmherzigkeit willen.“</w:t>
      </w:r>
    </w:p>
    <w:p w:rsidR="00D843E1" w:rsidRDefault="00FA6317">
      <w:pPr>
        <w:pStyle w:val="Text1Zeileeingerckt"/>
        <w:spacing w:line="240" w:lineRule="auto"/>
        <w:rPr>
          <w:rFonts w:eastAsia="MS Mincho"/>
        </w:rPr>
      </w:pPr>
      <w:r>
        <w:rPr>
          <w:rFonts w:eastAsia="MS Mincho"/>
        </w:rPr>
        <w:lastRenderedPageBreak/>
        <w:t>Die Reihe der Beispiele ließe sich fortsetzen. Sie alle sind Belege dafür, dass die Verfa</w:t>
      </w:r>
      <w:r>
        <w:rPr>
          <w:rFonts w:eastAsia="MS Mincho"/>
        </w:rPr>
        <w:t>s</w:t>
      </w:r>
      <w:r>
        <w:rPr>
          <w:rFonts w:eastAsia="MS Mincho"/>
        </w:rPr>
        <w:t>ser der Apokryphen offenbar versucht haben, ihren Schriften erst durch die Unterstützung aus dem Alten Testament so recht Gewicht zu verleihen. Dies ist ein weiterer Hinweis für die mindere Qualität ihrer Bücher.</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 xml:space="preserve">Das Bekenntnis des Verfassers des zweiten </w:t>
      </w:r>
      <w:proofErr w:type="spellStart"/>
      <w:r>
        <w:rPr>
          <w:rStyle w:val="Fettdruck"/>
          <w:rFonts w:eastAsia="MS Mincho"/>
        </w:rPr>
        <w:t>Makkabäerbuches</w:t>
      </w:r>
      <w:proofErr w:type="spellEnd"/>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 xml:space="preserve">Nicht zuletzt sei noch erwähnt, dass der Verfasser des zweiten </w:t>
      </w:r>
      <w:proofErr w:type="spellStart"/>
      <w:r>
        <w:rPr>
          <w:rFonts w:eastAsia="MS Mincho"/>
        </w:rPr>
        <w:t>Makkabäerbuches</w:t>
      </w:r>
      <w:proofErr w:type="spellEnd"/>
      <w:r>
        <w:rPr>
          <w:rFonts w:eastAsia="MS Mincho"/>
        </w:rPr>
        <w:t xml:space="preserve"> selbst nicht den Anspruch erhebt, dass sein Werk von Gottes Geist inspiriert sei. Er schreibt: </w:t>
      </w:r>
      <w:r>
        <w:rPr>
          <w:rStyle w:val="KursivimFlietext"/>
          <w:rFonts w:eastAsia="MS Mincho"/>
        </w:rPr>
        <w:t>„Ist die Darstellung schön und geschickt ausgefallen, so ist mein Wunsch erfüllt. Ist sie aber mittelmäßig und schwach, so tat ich doch, was in meinen Kräften stand“</w:t>
      </w:r>
      <w:r>
        <w:rPr>
          <w:rFonts w:eastAsia="MS Mincho"/>
        </w:rPr>
        <w:t xml:space="preserve"> (</w:t>
      </w:r>
      <w:r w:rsidR="006F1660">
        <w:rPr>
          <w:rFonts w:eastAsia="MS Mincho"/>
        </w:rPr>
        <w:t>2. Makkabäer</w:t>
      </w:r>
      <w:r>
        <w:rPr>
          <w:rFonts w:eastAsia="MS Mincho"/>
        </w:rPr>
        <w:t xml:space="preserve"> 15</w:t>
      </w:r>
      <w:r w:rsidR="0025129A">
        <w:rPr>
          <w:rFonts w:eastAsia="MS Mincho"/>
        </w:rPr>
        <w:t>, 3</w:t>
      </w:r>
      <w:r>
        <w:rPr>
          <w:rFonts w:eastAsia="MS Mincho"/>
        </w:rPr>
        <w:t>8 Jerusalemer Bibel). Der Verfasser rechnet also von vornherein damit, dass sein Werk „schwach“ oder gar schlecht, mit anderen Worten, unvollkommen ist. Wie kann aber ein von Gottes Geist eingegebener Text unvollkommen sein? Gott ist vollkommen und ir</w:t>
      </w:r>
      <w:r>
        <w:rPr>
          <w:rFonts w:eastAsia="MS Mincho"/>
        </w:rPr>
        <w:t>r</w:t>
      </w:r>
      <w:r>
        <w:rPr>
          <w:rFonts w:eastAsia="MS Mincho"/>
        </w:rPr>
        <w:t>tumsfrei! Deshalb ist das, was aus dem Geist Gottes kommt, ohne Fehler und nicht „mi</w:t>
      </w:r>
      <w:r>
        <w:rPr>
          <w:rFonts w:eastAsia="MS Mincho"/>
        </w:rPr>
        <w:t>t</w:t>
      </w:r>
      <w:r>
        <w:rPr>
          <w:rFonts w:eastAsia="MS Mincho"/>
        </w:rPr>
        <w:t xml:space="preserve">telmäßig“ oder „schwach“: </w:t>
      </w:r>
      <w:r>
        <w:rPr>
          <w:rStyle w:val="KursivimFlietext"/>
          <w:rFonts w:eastAsia="MS Mincho"/>
        </w:rPr>
        <w:t>„Denn alle Schrift, von Gott eingegeben, ist nütze zur Lehre, zur Zurechtweisung, zur Besserung, zur Erziehung in der Gerechtigkeit“</w:t>
      </w:r>
      <w:r>
        <w:rPr>
          <w:rFonts w:eastAsia="MS Mincho"/>
        </w:rPr>
        <w:t xml:space="preserve"> (</w:t>
      </w:r>
      <w:r w:rsidR="0025129A">
        <w:rPr>
          <w:rFonts w:eastAsia="MS Mincho"/>
        </w:rPr>
        <w:t xml:space="preserve">2. Timotheus </w:t>
      </w:r>
      <w:r>
        <w:rPr>
          <w:rFonts w:eastAsia="MS Mincho"/>
        </w:rPr>
        <w:t>3.16).</w:t>
      </w:r>
    </w:p>
    <w:p w:rsidR="00D843E1" w:rsidRDefault="00D843E1">
      <w:pPr>
        <w:spacing w:line="240" w:lineRule="auto"/>
        <w:rPr>
          <w:rFonts w:eastAsia="MS Mincho"/>
        </w:rPr>
      </w:pPr>
    </w:p>
    <w:p w:rsidR="00D843E1" w:rsidRDefault="00FA6317">
      <w:pPr>
        <w:spacing w:line="240" w:lineRule="auto"/>
        <w:rPr>
          <w:rStyle w:val="Fettdruck"/>
          <w:rFonts w:eastAsia="MS Mincho"/>
        </w:rPr>
      </w:pPr>
      <w:r>
        <w:rPr>
          <w:rStyle w:val="Fettdruck"/>
          <w:rFonts w:eastAsia="MS Mincho"/>
        </w:rPr>
        <w:t>Die Lehren, die wir aus dem Festgestellten zu ziehen haben</w:t>
      </w:r>
    </w:p>
    <w:p w:rsidR="00D843E1" w:rsidRDefault="00D843E1">
      <w:pPr>
        <w:spacing w:line="240" w:lineRule="auto"/>
        <w:rPr>
          <w:rFonts w:eastAsia="MS Mincho"/>
        </w:rPr>
      </w:pPr>
    </w:p>
    <w:p w:rsidR="00D843E1" w:rsidRDefault="00FA6317">
      <w:pPr>
        <w:pStyle w:val="Text1Zeileeingerckt"/>
        <w:spacing w:line="240" w:lineRule="auto"/>
        <w:rPr>
          <w:rFonts w:eastAsia="MS Mincho"/>
        </w:rPr>
      </w:pPr>
      <w:r>
        <w:rPr>
          <w:rFonts w:eastAsia="MS Mincho"/>
        </w:rPr>
        <w:t>Aus dem Herausgearbeiteten kann der aufmerksame Leser erkennen, dass die Apokr</w:t>
      </w:r>
      <w:r>
        <w:rPr>
          <w:rFonts w:eastAsia="MS Mincho"/>
        </w:rPr>
        <w:t>y</w:t>
      </w:r>
      <w:r>
        <w:rPr>
          <w:rFonts w:eastAsia="MS Mincho"/>
        </w:rPr>
        <w:t xml:space="preserve">phen nicht im Geringsten irgendeinen Anspruch auf göttliche Inspiration in sich selbst enthalten noch ihnen ein solcher zusteht! Sie sind ein rein menschliches Produkt! Für das Verständnis gewisser </w:t>
      </w:r>
      <w:proofErr w:type="spellStart"/>
      <w:r>
        <w:rPr>
          <w:rFonts w:eastAsia="MS Mincho"/>
        </w:rPr>
        <w:t>ecclesiologischer</w:t>
      </w:r>
      <w:proofErr w:type="spellEnd"/>
      <w:r>
        <w:rPr>
          <w:rFonts w:eastAsia="MS Mincho"/>
        </w:rPr>
        <w:t>, d. h. kirchengeschichtlicher Entwicklungen der letzten Jahrhunderte und zum besseren Verständnis der Zeit zwischen dem Abschluss des Alten Testaments (ca. 400 v. Chr.) und dem Beginn der neutestamentlichen Zeit kommt ihnen eine gewisse Bedeutung zu. Wiewohl sie einige legendäre Erzählungen enthalten, schimmert doch der historische Hintergrund ihrer Z</w:t>
      </w:r>
      <w:bookmarkStart w:id="0" w:name="_GoBack"/>
      <w:bookmarkEnd w:id="0"/>
      <w:r>
        <w:rPr>
          <w:rFonts w:eastAsia="MS Mincho"/>
        </w:rPr>
        <w:t>eit noch durch.</w:t>
      </w:r>
    </w:p>
    <w:p w:rsidR="00D843E1" w:rsidRDefault="00FA6317">
      <w:pPr>
        <w:pStyle w:val="Text1Zeileeingerckt"/>
        <w:spacing w:line="240" w:lineRule="auto"/>
        <w:rPr>
          <w:rFonts w:eastAsia="MS Mincho"/>
        </w:rPr>
      </w:pPr>
      <w:r>
        <w:rPr>
          <w:rFonts w:eastAsia="MS Mincho"/>
        </w:rPr>
        <w:t>Der gläubige Leser kann auch beim Lesen der Apokryphen durchaus einen geistlichen Segen empfangen, wie dies bei anderen Büchern ebenso der Fall ist. „Der englische Erba</w:t>
      </w:r>
      <w:r>
        <w:rPr>
          <w:rFonts w:eastAsia="MS Mincho"/>
        </w:rPr>
        <w:t>u</w:t>
      </w:r>
      <w:r>
        <w:rPr>
          <w:rFonts w:eastAsia="MS Mincho"/>
        </w:rPr>
        <w:t>ungsschriftsteller John Bunyan (der Verfasser der Pilgerreise) berichtet einmal, dass er auf der Suche nach einem Vers ‚Sehet an die Beispiele der Alten und merket sie; wer ist jemals zu Schanden geworden, der auf ihn gehofft hat?’ zunächst überrascht und fast erschrocken war, als er merkte, dass er in den Apokryphen steht (</w:t>
      </w:r>
      <w:proofErr w:type="spellStart"/>
      <w:r w:rsidR="0025129A">
        <w:rPr>
          <w:rFonts w:eastAsia="MS Mincho"/>
        </w:rPr>
        <w:t>Sirach</w:t>
      </w:r>
      <w:proofErr w:type="spellEnd"/>
      <w:r w:rsidR="0025129A">
        <w:rPr>
          <w:rFonts w:eastAsia="MS Mincho"/>
        </w:rPr>
        <w:t xml:space="preserve"> </w:t>
      </w:r>
      <w:r>
        <w:rPr>
          <w:rFonts w:eastAsia="MS Mincho"/>
        </w:rPr>
        <w:t>2</w:t>
      </w:r>
      <w:r w:rsidR="0025129A">
        <w:rPr>
          <w:rFonts w:eastAsia="MS Mincho"/>
        </w:rPr>
        <w:t>, 1</w:t>
      </w:r>
      <w:r>
        <w:rPr>
          <w:rFonts w:eastAsia="MS Mincho"/>
        </w:rPr>
        <w:t>0). Doch dann erkannte er, dass dieser Satz die Zusammenfassung aller Verheißungen ist und er daher seinen Trost annehmen musste. So konnte er nur Gott dafür danken, denn, so sagt er: ‚Es kam für mich von Gott’“ (</w:t>
      </w:r>
      <w:r>
        <w:rPr>
          <w:rStyle w:val="KursivimFlietext"/>
          <w:rFonts w:eastAsia="MS Mincho"/>
        </w:rPr>
        <w:t>Handbuch zur Bibel</w:t>
      </w:r>
      <w:r>
        <w:rPr>
          <w:rFonts w:eastAsia="MS Mincho"/>
        </w:rPr>
        <w:t xml:space="preserve">, op. </w:t>
      </w:r>
      <w:proofErr w:type="spellStart"/>
      <w:proofErr w:type="gramStart"/>
      <w:r>
        <w:rPr>
          <w:rFonts w:eastAsia="MS Mincho"/>
        </w:rPr>
        <w:t>cit</w:t>
      </w:r>
      <w:proofErr w:type="spellEnd"/>
      <w:r>
        <w:rPr>
          <w:rFonts w:eastAsia="MS Mincho"/>
        </w:rPr>
        <w:t>.,</w:t>
      </w:r>
      <w:proofErr w:type="gramEnd"/>
      <w:r>
        <w:rPr>
          <w:rFonts w:eastAsia="MS Mincho"/>
        </w:rPr>
        <w:t xml:space="preserve"> S.463).</w:t>
      </w:r>
    </w:p>
    <w:p w:rsidR="00D843E1" w:rsidRDefault="00FA6317">
      <w:pPr>
        <w:pStyle w:val="Text1Zeileeingerckt"/>
        <w:spacing w:line="240" w:lineRule="auto"/>
        <w:rPr>
          <w:rFonts w:eastAsia="MS Mincho"/>
        </w:rPr>
      </w:pPr>
      <w:r>
        <w:rPr>
          <w:rFonts w:eastAsia="MS Mincho"/>
        </w:rPr>
        <w:t>Mehr darf aber nicht in die Apokryphen gelegt werden. Jeder, der sie dem Wort Gottes als authentisch hinzufügt, sündigt gegen den heiligen und lebendigen Gott! Die kathol</w:t>
      </w:r>
      <w:r>
        <w:rPr>
          <w:rFonts w:eastAsia="MS Mincho"/>
        </w:rPr>
        <w:t>i</w:t>
      </w:r>
      <w:r>
        <w:rPr>
          <w:rFonts w:eastAsia="MS Mincho"/>
        </w:rPr>
        <w:t>sche Kirche hatte nicht das Recht, sie 1546 der Bibel einzuverleiben. Offenbarung 22 b</w:t>
      </w:r>
      <w:r>
        <w:rPr>
          <w:rFonts w:eastAsia="MS Mincho"/>
        </w:rPr>
        <w:t>e</w:t>
      </w:r>
      <w:r>
        <w:rPr>
          <w:rFonts w:eastAsia="MS Mincho"/>
        </w:rPr>
        <w:t xml:space="preserve">legt jeden mit einem Fluch, der der Schrift </w:t>
      </w:r>
      <w:proofErr w:type="spellStart"/>
      <w:proofErr w:type="gramStart"/>
      <w:r>
        <w:rPr>
          <w:rFonts w:eastAsia="MS Mincho"/>
        </w:rPr>
        <w:t>irgend etwas</w:t>
      </w:r>
      <w:proofErr w:type="spellEnd"/>
      <w:proofErr w:type="gramEnd"/>
      <w:r>
        <w:rPr>
          <w:rFonts w:eastAsia="MS Mincho"/>
        </w:rPr>
        <w:t xml:space="preserve"> hinzufügt oder etwas weglässt: </w:t>
      </w:r>
      <w:r>
        <w:rPr>
          <w:rStyle w:val="KursivimFlietext"/>
          <w:rFonts w:eastAsia="MS Mincho"/>
        </w:rPr>
        <w:t>„Ich bezeuge allen, die da hören die Worte der Weissagung in diesem Buch: Wenn j</w:t>
      </w:r>
      <w:r>
        <w:rPr>
          <w:rStyle w:val="KursivimFlietext"/>
          <w:rFonts w:eastAsia="MS Mincho"/>
        </w:rPr>
        <w:t>e</w:t>
      </w:r>
      <w:r>
        <w:rPr>
          <w:rStyle w:val="KursivimFlietext"/>
          <w:rFonts w:eastAsia="MS Mincho"/>
        </w:rPr>
        <w:t>mand etwas hinzufügt, so wird Gott ihm die Plagen zufügen, die in diesem Buch g</w:t>
      </w:r>
      <w:r>
        <w:rPr>
          <w:rStyle w:val="KursivimFlietext"/>
          <w:rFonts w:eastAsia="MS Mincho"/>
        </w:rPr>
        <w:t>e</w:t>
      </w:r>
      <w:r>
        <w:rPr>
          <w:rStyle w:val="KursivimFlietext"/>
          <w:rFonts w:eastAsia="MS Mincho"/>
        </w:rPr>
        <w:t>schrieben stehen. Und wenn jemand etwas wegnimmt von den Worten des Buches dieser Weissagung, so wird Gott ihm seinen Anteil wegnehmen am Baum des Lebens und an der heiligen Stadt, von denen in diesem Buch geschrieben steht“</w:t>
      </w:r>
      <w:r>
        <w:rPr>
          <w:rFonts w:eastAsia="MS Mincho"/>
        </w:rPr>
        <w:t xml:space="preserve"> (</w:t>
      </w:r>
      <w:r w:rsidR="006F1660">
        <w:rPr>
          <w:rFonts w:eastAsia="MS Mincho"/>
        </w:rPr>
        <w:t xml:space="preserve">Offenbarung </w:t>
      </w:r>
      <w:r>
        <w:rPr>
          <w:rFonts w:eastAsia="MS Mincho"/>
        </w:rPr>
        <w:t>22</w:t>
      </w:r>
      <w:r w:rsidR="0025129A">
        <w:rPr>
          <w:rFonts w:eastAsia="MS Mincho"/>
        </w:rPr>
        <w:t>, 1</w:t>
      </w:r>
      <w:r>
        <w:rPr>
          <w:rFonts w:eastAsia="MS Mincho"/>
        </w:rPr>
        <w:t>8-19).</w:t>
      </w:r>
    </w:p>
    <w:p w:rsidR="00D843E1" w:rsidRDefault="00FA6317">
      <w:pPr>
        <w:pStyle w:val="Text1Zeileeingerckt"/>
        <w:spacing w:line="240" w:lineRule="auto"/>
        <w:rPr>
          <w:rFonts w:eastAsia="MS Mincho"/>
        </w:rPr>
      </w:pPr>
      <w:r>
        <w:rPr>
          <w:rFonts w:eastAsia="MS Mincho"/>
        </w:rPr>
        <w:t>Die Deutsche Bibelgesellschaft handelt deshalb auch im Widerspruch zum Willen Go</w:t>
      </w:r>
      <w:r>
        <w:rPr>
          <w:rFonts w:eastAsia="MS Mincho"/>
        </w:rPr>
        <w:t>t</w:t>
      </w:r>
      <w:r>
        <w:rPr>
          <w:rFonts w:eastAsia="MS Mincho"/>
        </w:rPr>
        <w:t>tes, wenn sie die Apokryphen als „Spätschriften des Alten Testaments“ in ihre Bibelausg</w:t>
      </w:r>
      <w:r>
        <w:rPr>
          <w:rFonts w:eastAsia="MS Mincho"/>
        </w:rPr>
        <w:t>a</w:t>
      </w:r>
      <w:r>
        <w:rPr>
          <w:rFonts w:eastAsia="MS Mincho"/>
        </w:rPr>
        <w:t>ben aufnimmt (auch wenn dies als gesonderter Block zwischen dem Alten und Neuen Te</w:t>
      </w:r>
      <w:r>
        <w:rPr>
          <w:rFonts w:eastAsia="MS Mincho"/>
        </w:rPr>
        <w:t>s</w:t>
      </w:r>
      <w:r>
        <w:rPr>
          <w:rFonts w:eastAsia="MS Mincho"/>
        </w:rPr>
        <w:t xml:space="preserve">tament geschieht) und somit suggeriert, dass sie ein Teil des Alten Testaments sind. Diese Handhabung passt zwar in ein Klima ökumenischer Vereinnahmung und Verführung, ist aber dem Geist Gottes zuwider. Der unbedarfte Bibelleser wird auch beim Gebrauch des </w:t>
      </w:r>
      <w:r>
        <w:rPr>
          <w:rFonts w:eastAsia="MS Mincho"/>
        </w:rPr>
        <w:lastRenderedPageBreak/>
        <w:t>Parallelstellenverzeichnisses bei den neueren Ausgaben der Bibel Verweisstellen auf die Apokryphen finden und diese unweigerlich den echten Parallelstellen gleichsetzen. Von dieser Praxis sollten sich Gläubige deutlich distanzieren und nach Bibeln ohne Apokr</w:t>
      </w:r>
      <w:r>
        <w:rPr>
          <w:rFonts w:eastAsia="MS Mincho"/>
        </w:rPr>
        <w:t>y</w:t>
      </w:r>
      <w:r>
        <w:rPr>
          <w:rFonts w:eastAsia="MS Mincho"/>
        </w:rPr>
        <w:t>phen und ohne Verweisstellen auf die Apokryphen verlangen!</w:t>
      </w:r>
    </w:p>
    <w:p w:rsidR="00FA6317" w:rsidRDefault="00FA6317">
      <w:pPr>
        <w:pStyle w:val="Text1Zeileeingerckt"/>
        <w:spacing w:line="240" w:lineRule="auto"/>
        <w:rPr>
          <w:rFonts w:eastAsia="MS Mincho"/>
        </w:rPr>
      </w:pPr>
      <w:r>
        <w:rPr>
          <w:rFonts w:eastAsia="MS Mincho"/>
        </w:rPr>
        <w:t>Wer die Apokryphen dennoch lesen möchte, kann sie ohne weiteres als gesonderten Band käuflich erwerben. Und wer trotz des Festgestellten eine katholische Ausgabe der Bibel benutzen möchte, sollte sich markieren, welche Bücher, Kapitel und Verse kein Go</w:t>
      </w:r>
      <w:r>
        <w:rPr>
          <w:rFonts w:eastAsia="MS Mincho"/>
        </w:rPr>
        <w:t>t</w:t>
      </w:r>
      <w:r>
        <w:rPr>
          <w:rFonts w:eastAsia="MS Mincho"/>
        </w:rPr>
        <w:t>teswort sind. Wohlgemerkt: In solchen Ausgaben der Bibel sind die apokryphen Texte u</w:t>
      </w:r>
      <w:r>
        <w:rPr>
          <w:rFonts w:eastAsia="MS Mincho"/>
        </w:rPr>
        <w:t>n</w:t>
      </w:r>
      <w:r>
        <w:rPr>
          <w:rFonts w:eastAsia="MS Mincho"/>
        </w:rPr>
        <w:t xml:space="preserve">ter das echte Wort Gottes gemischt und nicht ohne weiteres als apokryph erkennbar! Hier ist eine besonders sorgfältige Handhabung und Trennung dringend geboten! </w:t>
      </w:r>
      <w:r>
        <w:rPr>
          <w:rStyle w:val="KursivimFlietext"/>
          <w:rFonts w:eastAsia="MS Mincho"/>
        </w:rPr>
        <w:t>„Seht zu, dass euch nicht jemand verführe!“</w:t>
      </w:r>
      <w:r>
        <w:rPr>
          <w:rFonts w:eastAsia="MS Mincho"/>
        </w:rPr>
        <w:t xml:space="preserve"> (</w:t>
      </w:r>
      <w:r w:rsidR="0025129A">
        <w:rPr>
          <w:rFonts w:eastAsia="MS Mincho"/>
        </w:rPr>
        <w:t xml:space="preserve">Matthäus </w:t>
      </w:r>
      <w:r>
        <w:rPr>
          <w:rFonts w:eastAsia="MS Mincho"/>
        </w:rPr>
        <w:t>24</w:t>
      </w:r>
      <w:r w:rsidR="0025129A">
        <w:rPr>
          <w:rFonts w:eastAsia="MS Mincho"/>
        </w:rPr>
        <w:t>, 4</w:t>
      </w:r>
      <w:r>
        <w:rPr>
          <w:rFonts w:eastAsia="MS Mincho"/>
        </w:rPr>
        <w:t>).</w:t>
      </w:r>
    </w:p>
    <w:sectPr w:rsidR="00FA6317">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17" w:rsidRDefault="00FA6317">
      <w:pPr>
        <w:spacing w:line="240" w:lineRule="auto"/>
      </w:pPr>
      <w:r>
        <w:separator/>
      </w:r>
    </w:p>
  </w:endnote>
  <w:endnote w:type="continuationSeparator" w:id="0">
    <w:p w:rsidR="00FA6317" w:rsidRDefault="00FA6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1" w:rsidRDefault="00FA63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843E1" w:rsidRDefault="00D843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E1" w:rsidRDefault="00FA63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F1660">
      <w:rPr>
        <w:rStyle w:val="Seitenzahl"/>
        <w:noProof/>
      </w:rPr>
      <w:t>8</w:t>
    </w:r>
    <w:r>
      <w:rPr>
        <w:rStyle w:val="Seitenzahl"/>
      </w:rPr>
      <w:fldChar w:fldCharType="end"/>
    </w:r>
  </w:p>
  <w:p w:rsidR="00D843E1" w:rsidRDefault="00D843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17" w:rsidRDefault="00FA6317">
      <w:pPr>
        <w:spacing w:line="240" w:lineRule="auto"/>
      </w:pPr>
      <w:r>
        <w:separator/>
      </w:r>
    </w:p>
  </w:footnote>
  <w:footnote w:type="continuationSeparator" w:id="0">
    <w:p w:rsidR="00FA6317" w:rsidRDefault="00FA63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FF"/>
    <w:rsid w:val="0025129A"/>
    <w:rsid w:val="006F1660"/>
    <w:rsid w:val="00A144FC"/>
    <w:rsid w:val="00BC1BFF"/>
    <w:rsid w:val="00D843E1"/>
    <w:rsid w:val="00FA6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4040</Words>
  <Characters>22399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Die Apokryphen - Teil des Wortes Gottes</vt:lpstr>
    </vt:vector>
  </TitlesOfParts>
  <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Apokryphen - Teil des Wortes Gottes</dc:title>
  <dc:subject/>
  <dc:creator>Dieter Zimmer</dc:creator>
  <cp:keywords/>
  <dc:description>Philadelphia, Kreuz und Reich Nr.1 Januar/Februar 1997, S.17-26</dc:description>
  <cp:lastModifiedBy>Me</cp:lastModifiedBy>
  <cp:revision>4</cp:revision>
  <dcterms:created xsi:type="dcterms:W3CDTF">2014-01-11T14:50:00Z</dcterms:created>
  <dcterms:modified xsi:type="dcterms:W3CDTF">2017-10-31T16:48:00Z</dcterms:modified>
</cp:coreProperties>
</file>