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F6" w:rsidRPr="00C334F6" w:rsidRDefault="00C334F6" w:rsidP="00C334F6">
      <w:pPr>
        <w:pBdr>
          <w:bottom w:val="single" w:sz="48" w:space="0" w:color="E1E1E1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</w:pPr>
      <w:r w:rsidRPr="00C334F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fldChar w:fldCharType="begin"/>
      </w:r>
      <w:r w:rsidRPr="00C334F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instrText xml:space="preserve"> HYPERLINK "https://www.gemeindenetzwerk.de/?p=19088" \o "Permanenter Link zu Erbe und Auftrag. Was wir von Pastor Heinrich Kemner lernen können." </w:instrText>
      </w:r>
      <w:r w:rsidRPr="00C334F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fldChar w:fldCharType="separate"/>
      </w:r>
      <w:bookmarkStart w:id="0" w:name="_GoBack"/>
      <w:bookmarkEnd w:id="0"/>
      <w:r w:rsidRPr="00C334F6"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>Was</w:t>
      </w:r>
      <w:r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 xml:space="preserve"> </w:t>
      </w:r>
      <w:r w:rsidRPr="00C334F6"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>wir</w:t>
      </w:r>
      <w:r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 xml:space="preserve"> </w:t>
      </w:r>
      <w:r w:rsidRPr="00C334F6"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>von</w:t>
      </w:r>
      <w:r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 xml:space="preserve"> </w:t>
      </w:r>
      <w:r w:rsidRPr="00C334F6"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>Pastor</w:t>
      </w:r>
      <w:r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 xml:space="preserve"> </w:t>
      </w:r>
      <w:r w:rsidRPr="00C334F6"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>Heinrich</w:t>
      </w:r>
      <w:r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 xml:space="preserve"> </w:t>
      </w:r>
      <w:proofErr w:type="spellStart"/>
      <w:r w:rsidRPr="00C334F6"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>Kemner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 xml:space="preserve"> </w:t>
      </w:r>
      <w:r w:rsidRPr="00C334F6"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>lernen</w:t>
      </w:r>
      <w:r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 xml:space="preserve"> </w:t>
      </w:r>
      <w:r w:rsidRPr="00C334F6">
        <w:rPr>
          <w:rFonts w:ascii="Trebuchet MS" w:eastAsia="Times New Roman" w:hAnsi="Trebuchet MS" w:cs="Times New Roman"/>
          <w:b/>
          <w:bCs/>
          <w:color w:val="000000"/>
          <w:sz w:val="43"/>
          <w:szCs w:val="43"/>
          <w:lang w:eastAsia="de-DE" w:bidi="he-IL"/>
        </w:rPr>
        <w:t>können.</w:t>
      </w:r>
      <w:r w:rsidRPr="00C334F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fldChar w:fldCharType="end"/>
      </w:r>
    </w:p>
    <w:p w:rsidR="00C334F6" w:rsidRPr="00C334F6" w:rsidRDefault="00C334F6" w:rsidP="00C334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</w:pPr>
      <w:r w:rsidRPr="00C334F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Sonntag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31.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Juli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2022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von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Dr.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Joachim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Cochlovius</w:t>
      </w:r>
      <w:proofErr w:type="spellEnd"/>
    </w:p>
    <w:p w:rsidR="00C334F6" w:rsidRPr="00C334F6" w:rsidRDefault="00C334F6" w:rsidP="00C3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</w:pPr>
    </w:p>
    <w:p w:rsidR="00C334F6" w:rsidRPr="00C334F6" w:rsidRDefault="00C334F6" w:rsidP="00C334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DE" w:bidi="he-IL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de-DE" w:bidi="he-IL"/>
        </w:rPr>
        <w:drawing>
          <wp:inline distT="0" distB="0" distL="0" distR="0" wp14:anchorId="18C5994B" wp14:editId="6F967FCD">
            <wp:extent cx="952500" cy="1428750"/>
            <wp:effectExtent l="0" t="0" r="0" b="0"/>
            <wp:docPr id="2" name="Grafik 2" descr="Dr. Joachim Cochlov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Joachim Cochlovi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30.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Gründung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Gemeindehilfsbundes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‚Gemeindenotbund‘)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Innehalten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Gedenken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Gründer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Pastor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angebracht.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Geheimnis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gesegneten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Wirkens?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verdanken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Gemeindehilfsbund</w:t>
      </w:r>
      <w:proofErr w:type="spellEnd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unbedingt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festhalten?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Erinnerungen,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Wirkens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Veröffentlichungen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wähle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Erbstücke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eigenen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Standortbestimmung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Auftrag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helfen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angefochtenen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geistlich,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theologisch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seelsorgerlich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helfen,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insbesondere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Gemeindehilfsbund</w:t>
      </w:r>
      <w:proofErr w:type="spellEnd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.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Zuerst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möchte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Weihegebet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Erinnerung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rufen,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Gründung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Bundes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Reformationstag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1992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gesprochen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testamentarische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Bedeutung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wichtiger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Schlüssel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Verstehen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30jährigen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Gemeindehilfsbundes</w:t>
      </w:r>
      <w:proofErr w:type="spellEnd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Gebete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Glaubensväter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erfüllen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Vollmacht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gesprochen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Rückschlägen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Widerständen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Dienst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ungehindert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tun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kann,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gewachsen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Leitung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bekommt,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menschliches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Verdienst,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Erhörung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Weihegebets,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demütig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dankbar.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„Der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Herr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mein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Licht,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mein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Licht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mein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Heil,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wem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sollte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mich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fürchten,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Herr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meines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Lebens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Kraft,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wem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sollte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grauen?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Lebendiger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Herr,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Vater,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Sohn,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Heiliger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Geist,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deinem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heiligen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Namen,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Kraft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deiner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Gottverlassenheit,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o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Christus,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deiner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Höllenfahrt,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Siegel,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Vater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Himmel,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gegeben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hast,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Auferstehung,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leibhaftigen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Auferstehung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Jesu,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Gewissheit,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wiederkommt,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verlassen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wird,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Geburtswehen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sind,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gesagt,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Ziele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hin,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Gewissheit,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Herr,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weihe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diesem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Augenblick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Notbund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deinem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hochgelobten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Namen.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weihe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ihn,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Herr,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ihn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fruchtbar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machst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Kirche,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unser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Volk,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Allotria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wird,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Halleluja,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Krelingen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beglaubigt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dir,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allen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Schwächen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Gebrechen.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danke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dir,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mich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verworfen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hast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deinem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Angesicht,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deinen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Heiligen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Geist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genommen,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weihe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Notbund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diesem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Augenblick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Anstoß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ewigen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Bewegung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Namen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Gottes,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Vaters,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Sohnes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Heiligen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Geistes.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Fürchte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nicht,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bin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dir,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weiche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nicht,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bin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Gott,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stärke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dich,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helfe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dir.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erhalte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rechte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Hand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meiner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Gerechtigkeit.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Amen“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de-DE" w:bidi="he-IL"/>
        </w:rPr>
        <w:lastRenderedPageBreak/>
        <w:drawing>
          <wp:inline distT="0" distB="0" distL="0" distR="0" wp14:anchorId="234A9DBA" wp14:editId="0091AB09">
            <wp:extent cx="1809750" cy="1533525"/>
            <wp:effectExtent l="0" t="0" r="0" b="9525"/>
            <wp:docPr id="1" name="Grafik 1" descr="https://www.gemeindenetzwerk.de/wp-content/uploads/2022/07/Heinrich-Kemner-in-Linz-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emeindenetzwerk.de/wp-content/uploads/2022/07/Heinrich-Kemner-in-Linz-19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Linz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1986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1.)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Unbedingt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festhalten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Luther,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Kierkegaard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Bezzel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orientiertes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Menschenbild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guten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Kern,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Humanismus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bleibt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Tiefsten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Sünder,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sucht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Nächsten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wieder,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ehrlich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„stinkigen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Selbstverliebtheit“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ertappen.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Glaubensgemeinschaft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Chance,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erlöste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wirklich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Nächsten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Menschenbild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ruft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geradezu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erwecklichen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Verkündigung,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Vollmacht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Erlöser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gepredigt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ergreifen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doppelte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„Freiheit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Christenmenschen“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hineinkommen.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besteht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bekanntlich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Luthers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Reformationsschrift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1520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inneren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äußeren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Knechtungen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Dienst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Nächsten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Koordinaten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Nachfolgern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schenkt.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Menschenbild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pessimistisch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optimistisch,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realistisch,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ganzen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Durchdrungenheit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sündigen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Egoismus,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rechnet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gleichzeitig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realen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Gegenwart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auferstandenen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Predigtwort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Sakrament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offenbart.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schätzte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Luther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sehr,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Reformator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„größten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Sohn,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Mutter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geboren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hat“.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2.)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paulinisch-lutherischen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realistischen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Menschenbild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resultiert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Eigenbild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Christen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besonders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brauchen,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gewinnen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möchten.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begnadigte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Sünder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dürfen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Gnade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Beistand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Sünde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widerstehen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bleiben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Sünder,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Tatsache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Selbstbewusstsein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abbilden.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Deswegen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hören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dringende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Empfehlung,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erreichen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wollen,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Sünderbank“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Platz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nehmen.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Heiligenschein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aufsetzen“.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Öfters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erzählte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evangelistischen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Einsätzen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Hamburger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Reeperbahn,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„letzte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Reihe“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suchte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„rote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Schlägermütze“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aufsetzte.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Formulierungen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wichtige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Erkenntnisse.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erreichen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„ausliefern“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Ausdruck),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d.h.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eigenen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Schwächen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zugeben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äußern.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perfektes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vorspielen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eigene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Lebenserfolge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hinweisen,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bauen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unsichtbare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Mauern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verlieren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Zugang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unnatürliche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Heiligkeit,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geheiligte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Natürlichkeit“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widerspiegeln.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Spatz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Nachtigall,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echten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Spatzen“.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Gemeindehilfsbund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umhin,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gesellschaftlichen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innerkirchlichen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Entwicklungen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analysieren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kritisch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kommentieren,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überheblicher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Unterton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mitschwingen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Kritik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„Mitleiden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erkennbar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sein.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3.)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lastRenderedPageBreak/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Intellektverächter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„Denkmuffel“.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zitierte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z.B.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Sören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Kierkegaard,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komplette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Werke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Bibliothek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Philosophie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bestens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kannte.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Chaos“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(1959)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zeugt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intellektuellen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Begabung.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gehört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Erbe,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–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Verkündiger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–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Strömungen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kennen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einordnen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Niemand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Denkträgheit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vorwerfen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intellektuellen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Kompetenz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müde,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Begrenztheiten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Verführbarkeit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menschlichen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Verstands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hinzuweisen.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„dialektische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Wahrheiten“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entwickeln,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d.h.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stimmige,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variablen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Voraussetzungen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abhängige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Teilwahrheiten,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zugängliche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Christuswahrheit.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Skepsis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Verstand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gebrauchten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Ausspruch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Vorschein,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Intellekt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erklären,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beweisen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entschuldigen“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Definition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ähnlich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Luthers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„Hure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Vernunft“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deutlich,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Rationalität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keineswegs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unabhängig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einschätzt,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zutiefst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Herzen,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Persönlichkeitszentrum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gesteuert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Solange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Nächsten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befreit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bleibt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Verstand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gefangen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Befangenheiten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eigenen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bedarf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deswegen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großer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Anstrengung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ernsthafter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Gebete,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Geheimnisse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nahebringen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will.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Gleichnisse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erzählt,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Paulus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Griechen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Grieche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geworden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(vgl.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9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 2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1),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ideologisch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verengten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Denkhorizont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Zeitgenossen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hineinversetzen,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weitersagen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wollen.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kennen.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4.)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Theologie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christozentrisch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ewigkeitsorientiert.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Kierkegaard-Wort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einzige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Neuigkeit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Erdentage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Anfang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theologischen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Erstlingswerk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Chaos“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ausgeführt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erkannte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Heilsgeschichte,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Umwertung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irdischen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große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Chance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komplette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Neuausrichtung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Menschseins.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gewinnt,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zieht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roter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gesamte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Verkündigung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literarische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Tätigkeit.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endlose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eigenständige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Kategorie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Wirklichkeit.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lebendigen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bestimmte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Wirklichkeit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versetzt.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Maßstäbe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verändern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Güter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Anerkennung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Einfluss,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sexuelle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Erfüllung,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Leidensscheu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–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Irdische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tritt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zurück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Erkenntnis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Christi.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menschlicher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Anerkennung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strebt,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hören: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Urteil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Urteil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Gottes.“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gebunden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fehlgeleitete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Sexualität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ehebrecherisches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Verhalten,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warnende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Stimme: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„Willst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Lustsekunden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Spiel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setzen?“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vergeben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kann,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findet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Theologie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Erkenntnis,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ungleich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höherem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vergibt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deswegen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Nächsten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vergeben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kann.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gelebten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verändert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Blick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eigene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Tun,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genug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überhöhen.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„Ewigkeitswert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Geschenkte,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Gewollte“.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Erkenntnis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ernüchternd,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heilsam.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schnell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beginnen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Leistungen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etwas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einzubilden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bekümmert,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niemand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würdigt.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hilft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„Blickwechsel“,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sprach.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Paul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Gerhardt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unnachahmliche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formuliert: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Erd</w:t>
      </w:r>
      <w:proofErr w:type="spellEnd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wert.“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Geschenkte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bleibenden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Erkenntnis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Kemners</w:t>
      </w:r>
      <w:proofErr w:type="spellEnd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drückt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folgendermaßen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Werk,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geschaffen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guten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Werken,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bereitet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wandeln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sollen“.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Epheser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 1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0)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5.)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Ausgehend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Hermann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Bezzels</w:t>
      </w:r>
      <w:proofErr w:type="spellEnd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„Evangelische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Heiligung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heißt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Grundsätzen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dienen“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großen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gelegt,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Protestantismus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grundsatztreu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bleibt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bzw.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ethischen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Schwenk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klaren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Abtreibung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indirekten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Mitbeteiligung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Ausstellen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sogenannter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Beratungsbescheinigungen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konnte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nachvollziehen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Öffnung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lastRenderedPageBreak/>
        <w:t>evangelischer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Pfarrhäuser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gleichgeschlechtliche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Partnerschaften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Trauungen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bzw.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Segnungen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Verbindungen.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Öffnung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gemeindeleitenden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Hirtenamtes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zweiten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Hälfte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letzten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Jahrhunderts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kritisch.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Entwicklungen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Grundsatztreue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aufgegeben.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1992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Hamburg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weltweit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evangelisch-lutherische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Bischöfin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gewählt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Protest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gekommen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rief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Gründung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Gemeindehilfsbundes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(zunächst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Gemeindenotbund)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Devise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lautete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„Auftreten“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„Austreten“.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Grundsatztreue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drückt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Satzung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Gemeindehilfsbundes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§2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gleich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Anfang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heißt: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verfolgt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Ziele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reformatorischen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Bekenntnisschriften.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innerhalb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Landeskirchen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Grundordnung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uneingeschränkte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Autorität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Schrift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ein.“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öfters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„Entelechie“,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innere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Gesetz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Entwicklung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Gruppe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verwirklicht.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Nimmt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Definition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Maßstab,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gehört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zweifellos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Entelechie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Gemeindehilfsbundes</w:t>
      </w:r>
      <w:proofErr w:type="spellEnd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angesichts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genannten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Entwicklungen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unbeirrt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Apostel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festhält.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6.)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Ausrufung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1992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Gründung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Gemeindehilfsbundes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Reformationstag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1992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wollte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Weckruf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evangelische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schicken.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Stunde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Schlaf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aufzuwachen.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weithin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Gefahr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verführt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Hinweis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sammeln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Gläubigen,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endlich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Zersplitterung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herauskommen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Auftrag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hineinfinden,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helfen“.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leidende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Nachfolge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schweigende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(„Gemeinde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Zukunft“,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Infoblatt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Gemeindehilfsbundes</w:t>
      </w:r>
      <w:proofErr w:type="spellEnd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).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lutherischen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allgemeiner,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führte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letzten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Bibelarbeiten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bauen,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Bekenntnis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auflöst,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bleiben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lutherisch.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bleiben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Bekenntnissen,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überbewerten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nicht…Die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Bekenntnisse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Abbruch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gebaut.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Schauen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(„Gedenkt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eurer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Lehrer“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Hebräer 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13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, 7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–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Pastor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Kemner1903-1993,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Broschüre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Gemeindehilfsbundes</w:t>
      </w:r>
      <w:proofErr w:type="spellEnd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Aufl.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2006).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Weitschaft</w:t>
      </w:r>
      <w:proofErr w:type="spellEnd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“,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weiteres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Lieblingswort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Kemners</w:t>
      </w:r>
      <w:proofErr w:type="spellEnd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hilft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dazu,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Blick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Nachfolger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verschiedenen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Konfessionen,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bedeutet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„Leib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Christi“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finden.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größer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Hürde“.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Dementsprechend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Gemeindehilfsbund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lutherischen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Landeskirchen,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Konfessionen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gesammelt.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Bemühung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Sammlung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Gläubigen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Klaren,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besonderen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Gnade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bedarf,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Liberalität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festgefahren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Erneuerung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Anstoß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Bewegung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beglaubigt,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Glaubenswerk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Anstoß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Korrektur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sein.“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7.)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erkennen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leiden,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Heimgang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1993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Vorbild,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bleibt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Nöte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Glaubensabfalls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Abweichen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apostolischen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Ethik,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Unfähigkeit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helfen,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Lebensprobleme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abzuladen.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mangelnde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Seelsorge,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kaputt.“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Pastor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Hannoverschen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Landeskirche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Rückkehr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Kirche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Bekenntnis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eintrat,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Tiefsten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arbeitete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geistliche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Mündigwerden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Gemeinde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Insofern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basisorientierter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Theologe.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Unvergesslich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Predigten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Bibelarbeiten,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einzelnen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„wetter-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zukunftsfest“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wollte.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braucht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Kraft,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letzten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Hurenhaus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Aussage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nachgedacht.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verlorenen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Siegen“,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vorläufigen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Scheitern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Arbeit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göttliche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Verheißungen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Ganz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ähnlich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Verlegenheiten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Gelegenheiten“.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Aussagen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gehören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geistlichem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Auftrag.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Existenz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lastRenderedPageBreak/>
        <w:t>Hurenhaus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prophetischer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Natur.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Maße,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Gesellschaft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göttliche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Stiftung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Füßen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tritt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ungebundene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Sexualität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propagiert,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wächst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Verführung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Nachfolger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Flucht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möglich,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Internet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Smartphone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präsent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inständig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bitten,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gerade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Jugend,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Anfechtungen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bestehen,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möglich.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„verlorenen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Siege“.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selbstverschuldeten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unverschuldeten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Niederlagen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aufgrund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Verkennung,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Schmähung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Ablehnung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erfahren,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trotz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Gebete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Einsprüche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Lügen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Gottlosigkeiten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triumphieren,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Zeitgeist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kapitulieren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faule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Kompromisse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schließen,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Antichristentum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Vormarsch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Demütigung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dienen.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getan,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bald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verloren“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(Luther).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geprüft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geläutert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Guten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Paulus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Römer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8.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geistliche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Könige,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Luther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„Freiheit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Christenmenschen“.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Anfechtungssituationen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lernen,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letztlichen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unsres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hindurch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erleben,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tatsächlich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scheinbaren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Niederlagen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wünsche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Lesern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Erinnerung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Heinrich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Kemner</w:t>
      </w:r>
      <w:proofErr w:type="spellEnd"/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erleben.</w:t>
      </w:r>
    </w:p>
    <w:p w:rsidR="00C334F6" w:rsidRPr="00C334F6" w:rsidRDefault="00C334F6" w:rsidP="00C334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Quelle: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AUFBRUCH.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Informationen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Gemeindehilfsbundes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(Juli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C334F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2022)</w:t>
      </w:r>
    </w:p>
    <w:p w:rsidR="00196B48" w:rsidRPr="00C334F6" w:rsidRDefault="00196B48" w:rsidP="00C334F6"/>
    <w:sectPr w:rsidR="00196B48" w:rsidRPr="00C33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B4"/>
    <w:rsid w:val="00196B48"/>
    <w:rsid w:val="009C29B4"/>
    <w:rsid w:val="00C3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33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334F6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C334F6"/>
    <w:rPr>
      <w:color w:val="0000FF"/>
      <w:u w:val="single"/>
    </w:rPr>
  </w:style>
  <w:style w:type="paragraph" w:customStyle="1" w:styleId="prefix">
    <w:name w:val="prefix"/>
    <w:basedOn w:val="Standard"/>
    <w:rsid w:val="00C3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StandardWeb">
    <w:name w:val="Normal (Web)"/>
    <w:basedOn w:val="Standard"/>
    <w:uiPriority w:val="99"/>
    <w:semiHidden/>
    <w:unhideWhenUsed/>
    <w:rsid w:val="00C3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Hervorhebung">
    <w:name w:val="Emphasis"/>
    <w:basedOn w:val="Absatz-Standardschriftart"/>
    <w:uiPriority w:val="20"/>
    <w:qFormat/>
    <w:rsid w:val="00C334F6"/>
    <w:rPr>
      <w:i/>
      <w:iCs/>
    </w:rPr>
  </w:style>
  <w:style w:type="character" w:styleId="Fett">
    <w:name w:val="Strong"/>
    <w:basedOn w:val="Absatz-Standardschriftart"/>
    <w:uiPriority w:val="22"/>
    <w:qFormat/>
    <w:rsid w:val="00C334F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33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334F6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C334F6"/>
    <w:rPr>
      <w:color w:val="0000FF"/>
      <w:u w:val="single"/>
    </w:rPr>
  </w:style>
  <w:style w:type="paragraph" w:customStyle="1" w:styleId="prefix">
    <w:name w:val="prefix"/>
    <w:basedOn w:val="Standard"/>
    <w:rsid w:val="00C3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StandardWeb">
    <w:name w:val="Normal (Web)"/>
    <w:basedOn w:val="Standard"/>
    <w:uiPriority w:val="99"/>
    <w:semiHidden/>
    <w:unhideWhenUsed/>
    <w:rsid w:val="00C3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Hervorhebung">
    <w:name w:val="Emphasis"/>
    <w:basedOn w:val="Absatz-Standardschriftart"/>
    <w:uiPriority w:val="20"/>
    <w:qFormat/>
    <w:rsid w:val="00C334F6"/>
    <w:rPr>
      <w:i/>
      <w:iCs/>
    </w:rPr>
  </w:style>
  <w:style w:type="character" w:styleId="Fett">
    <w:name w:val="Strong"/>
    <w:basedOn w:val="Absatz-Standardschriftart"/>
    <w:uiPriority w:val="22"/>
    <w:qFormat/>
    <w:rsid w:val="00C334F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76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2401</Words>
  <Characters>15132</Characters>
  <Application>Microsoft Office Word</Application>
  <DocSecurity>0</DocSecurity>
  <Lines>126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wir von Pastor Heinrich Kemner lernen können</vt:lpstr>
    </vt:vector>
  </TitlesOfParts>
  <Company/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wir von Pastor Heinrich Kemner lernen können</dc:title>
  <dc:subject/>
  <dc:creator>Joachim Cochlovius</dc:creator>
  <cp:keywords/>
  <dc:description/>
  <cp:lastModifiedBy>Me</cp:lastModifiedBy>
  <cp:revision>2</cp:revision>
  <dcterms:created xsi:type="dcterms:W3CDTF">2022-08-31T14:33:00Z</dcterms:created>
  <dcterms:modified xsi:type="dcterms:W3CDTF">2022-08-31T14:35:00Z</dcterms:modified>
</cp:coreProperties>
</file>